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3D06D95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C5018C">
        <w:rPr>
          <w:rFonts w:ascii="Arial" w:hAnsi="Arial" w:cs="Arial"/>
          <w:b/>
          <w:bCs/>
          <w:sz w:val="24"/>
          <w:szCs w:val="24"/>
        </w:rPr>
        <w:t>6</w:t>
      </w:r>
      <w:r w:rsidR="00DF11F0">
        <w:rPr>
          <w:rFonts w:ascii="Arial" w:hAnsi="Arial" w:cs="Arial"/>
          <w:b/>
          <w:bCs/>
          <w:sz w:val="24"/>
          <w:szCs w:val="24"/>
        </w:rPr>
        <w:t>-AH</w:t>
      </w:r>
      <w:r w:rsidR="00DF7FB6" w:rsidRPr="00F76B76">
        <w:rPr>
          <w:rFonts w:ascii="Arial" w:hAnsi="Arial" w:cs="Arial"/>
          <w:b/>
          <w:bCs/>
          <w:sz w:val="24"/>
          <w:szCs w:val="24"/>
        </w:rPr>
        <w:tab/>
      </w:r>
      <w:r w:rsidR="000F5EC4" w:rsidRPr="000F5EC4">
        <w:rPr>
          <w:rFonts w:ascii="Arial" w:hAnsi="Arial" w:cs="Arial"/>
          <w:b/>
          <w:bCs/>
          <w:sz w:val="24"/>
          <w:szCs w:val="24"/>
        </w:rPr>
        <w:t>S2-</w:t>
      </w:r>
      <w:r w:rsidR="0005128B">
        <w:rPr>
          <w:rFonts w:ascii="Arial" w:hAnsi="Arial" w:cs="Arial"/>
          <w:b/>
          <w:bCs/>
          <w:sz w:val="24"/>
          <w:szCs w:val="24"/>
        </w:rPr>
        <w:t>20</w:t>
      </w:r>
      <w:r w:rsidR="009B7E03">
        <w:rPr>
          <w:rFonts w:ascii="Arial" w:hAnsi="Arial" w:cs="Arial"/>
          <w:b/>
          <w:bCs/>
          <w:sz w:val="24"/>
          <w:szCs w:val="24"/>
        </w:rPr>
        <w:t>0</w:t>
      </w:r>
      <w:bookmarkStart w:id="0" w:name="_GoBack"/>
      <w:bookmarkEnd w:id="0"/>
      <w:r w:rsidR="000F5EC4" w:rsidRPr="000F5EC4">
        <w:rPr>
          <w:rFonts w:ascii="Arial" w:hAnsi="Arial" w:cs="Arial"/>
          <w:b/>
          <w:bCs/>
          <w:sz w:val="24"/>
          <w:szCs w:val="24"/>
        </w:rPr>
        <w:t>0</w:t>
      </w:r>
      <w:r w:rsidR="00526207">
        <w:rPr>
          <w:rFonts w:ascii="Arial" w:hAnsi="Arial" w:cs="Arial"/>
          <w:b/>
          <w:bCs/>
          <w:sz w:val="24"/>
          <w:szCs w:val="24"/>
        </w:rPr>
        <w:t>564</w:t>
      </w:r>
    </w:p>
    <w:p w14:paraId="45DD8217" w14:textId="5BFDB2FC" w:rsidR="00DF7FB6" w:rsidRPr="00F76B76" w:rsidRDefault="009B7E03" w:rsidP="005509C5">
      <w:pPr>
        <w:pBdr>
          <w:bottom w:val="single" w:sz="6" w:space="0" w:color="auto"/>
        </w:pBdr>
        <w:tabs>
          <w:tab w:val="right" w:pos="9638"/>
        </w:tabs>
        <w:rPr>
          <w:rFonts w:ascii="Arial" w:hAnsi="Arial" w:cs="Arial"/>
          <w:b/>
          <w:bCs/>
          <w:sz w:val="24"/>
          <w:szCs w:val="24"/>
        </w:rPr>
      </w:pPr>
      <w:r w:rsidRPr="00D3638C">
        <w:rPr>
          <w:rFonts w:ascii="Arial" w:hAnsi="Arial" w:cs="Arial"/>
          <w:b/>
          <w:bCs/>
          <w:noProof/>
          <w:sz w:val="24"/>
          <w:szCs w:val="24"/>
        </w:rPr>
        <w:t>13 - 17 January, 2020, Incheon, South Korea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41D1921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6E0BA6">
        <w:rPr>
          <w:rFonts w:ascii="Arial" w:hAnsi="Arial" w:cs="Arial"/>
          <w:b/>
        </w:rPr>
        <w:t>Qualcomm Incorporated</w:t>
      </w:r>
    </w:p>
    <w:p w14:paraId="3BE54C94" w14:textId="55694945" w:rsidR="00AF4567" w:rsidRDefault="00440983">
      <w:pPr>
        <w:ind w:left="2127" w:hanging="2127"/>
        <w:rPr>
          <w:rFonts w:ascii="Arial" w:hAnsi="Arial" w:cs="Arial"/>
          <w:b/>
        </w:rPr>
      </w:pPr>
      <w:r>
        <w:rPr>
          <w:rFonts w:ascii="Arial" w:hAnsi="Arial" w:cs="Arial"/>
          <w:b/>
        </w:rPr>
        <w:t>Title:</w:t>
      </w:r>
      <w:r>
        <w:rPr>
          <w:rFonts w:ascii="Arial" w:hAnsi="Arial" w:cs="Arial"/>
          <w:b/>
        </w:rPr>
        <w:tab/>
      </w:r>
      <w:r w:rsidR="006E0BA6">
        <w:rPr>
          <w:rFonts w:ascii="Arial" w:hAnsi="Arial" w:cs="Arial"/>
          <w:b/>
        </w:rPr>
        <w:t>eNS_Ph2 Solution for handling at NAS level restrictions imposed by GST parameters</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C61A49D"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317A06">
        <w:rPr>
          <w:rFonts w:ascii="Arial" w:hAnsi="Arial" w:cs="Arial"/>
          <w:b/>
          <w:lang w:eastAsia="ko-KR"/>
        </w:rPr>
        <w:t>/ Rel-17</w:t>
      </w:r>
    </w:p>
    <w:p w14:paraId="781B1DF5" w14:textId="0A79A43A"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6E0BA6">
        <w:rPr>
          <w:rFonts w:ascii="Arial" w:hAnsi="Arial" w:cs="Arial"/>
          <w:i/>
        </w:rPr>
        <w:t>the contribution proposes a generic solution for NAS-level handling of various GST parameters.</w:t>
      </w:r>
    </w:p>
    <w:p w14:paraId="332D8BDD" w14:textId="039792CF" w:rsidR="00A71BD7" w:rsidRDefault="00C311D8" w:rsidP="00A71BD7">
      <w:pPr>
        <w:pStyle w:val="Heading1"/>
      </w:pPr>
      <w:r>
        <w:t>1.</w:t>
      </w:r>
      <w:r>
        <w:tab/>
      </w:r>
      <w:r w:rsidR="00F70227">
        <w:t>Discussion</w:t>
      </w:r>
    </w:p>
    <w:p w14:paraId="491CE44B" w14:textId="7A2D825C" w:rsidR="00A71BD7" w:rsidRDefault="006E0BA6" w:rsidP="00A71BD7">
      <w:r>
        <w:t>The introduction of GST parameters brings new restrictions to the ability to provide access to S-NSSAIs and to the ability to provide connectivity (e.g. PDU sessions) corresponding to S-NSSAIs subject to GST parameters restrictions.</w:t>
      </w:r>
    </w:p>
    <w:p w14:paraId="14102AE2" w14:textId="0EC10D07" w:rsidR="00C311D8" w:rsidRDefault="006E0BA6" w:rsidP="006E0BA6">
      <w:r>
        <w:t>A holistic analysis of the parameters and the related NAS behaviour is necessary to ensure we have a complete set of solutions for the various GST parameters.</w:t>
      </w:r>
    </w:p>
    <w:p w14:paraId="635C1D3B" w14:textId="77777777" w:rsidR="00C311D8" w:rsidRPr="00914538" w:rsidRDefault="00C311D8" w:rsidP="00A71BD7"/>
    <w:p w14:paraId="746EEA7C" w14:textId="77777777" w:rsidR="00A71BD7" w:rsidRDefault="00A71BD7" w:rsidP="00A71BD7">
      <w:pPr>
        <w:pStyle w:val="Heading1"/>
      </w:pPr>
      <w:r>
        <w:t>Proposal</w:t>
      </w:r>
    </w:p>
    <w:p w14:paraId="5E267DB2" w14:textId="1618CFC1" w:rsidR="00A71BD7" w:rsidRDefault="00A71BD7" w:rsidP="00A71BD7">
      <w:r>
        <w:t>It is proposed the following text is added to TR 23.700</w:t>
      </w:r>
      <w:r w:rsidR="00C311D8">
        <w:t>.</w:t>
      </w:r>
    </w:p>
    <w:p w14:paraId="05B1102D" w14:textId="6D7A4B48" w:rsidR="00A71BD7" w:rsidRDefault="00C311D8" w:rsidP="00A71BD7">
      <w:pPr>
        <w:pBdr>
          <w:top w:val="single" w:sz="4" w:space="1" w:color="auto"/>
          <w:left w:val="single" w:sz="4" w:space="4" w:color="auto"/>
          <w:bottom w:val="single" w:sz="4" w:space="1" w:color="auto"/>
          <w:right w:val="single" w:sz="4" w:space="4" w:color="auto"/>
        </w:pBdr>
        <w:jc w:val="center"/>
      </w:pPr>
      <w:r>
        <w:rPr>
          <w:color w:val="FF0000"/>
          <w:sz w:val="40"/>
          <w:szCs w:val="40"/>
        </w:rPr>
        <w:t>First Change</w:t>
      </w:r>
      <w:r w:rsidR="00A71BD7">
        <w:rPr>
          <w:color w:val="FF0000"/>
          <w:sz w:val="40"/>
          <w:szCs w:val="40"/>
        </w:rPr>
        <w:t xml:space="preserve"> </w:t>
      </w:r>
    </w:p>
    <w:p w14:paraId="4603B02B" w14:textId="074185A9" w:rsidR="00C311D8" w:rsidRDefault="00C311D8" w:rsidP="00C311D8">
      <w:pPr>
        <w:pStyle w:val="Heading2"/>
      </w:pPr>
      <w:bookmarkStart w:id="1" w:name="_Toc20227985"/>
      <w:bookmarkStart w:id="2" w:name="_Toc22125438"/>
      <w:bookmarkStart w:id="3" w:name="_Toc22125858"/>
      <w:bookmarkStart w:id="4" w:name="_Toc22126132"/>
      <w:bookmarkStart w:id="5" w:name="_Toc22183818"/>
      <w:bookmarkStart w:id="6" w:name="_Toc22183888"/>
      <w:bookmarkStart w:id="7" w:name="_Toc22184058"/>
      <w:bookmarkStart w:id="8" w:name="_Toc22184160"/>
      <w:bookmarkStart w:id="9" w:name="_Toc22261936"/>
      <w:bookmarkStart w:id="10" w:name="_Toc25971113"/>
      <w:bookmarkStart w:id="11" w:name="_Toc25971357"/>
      <w:bookmarkStart w:id="12" w:name="_Toc26360281"/>
      <w:bookmarkStart w:id="13" w:name="_Toc26360350"/>
      <w:bookmarkStart w:id="14" w:name="_Toc435670433"/>
      <w:bookmarkStart w:id="15" w:name="_Toc436124703"/>
      <w:bookmarkStart w:id="16" w:name="_Toc20227981"/>
      <w:r>
        <w:rPr>
          <w:lang w:eastAsia="ko-KR"/>
        </w:rPr>
        <w:t>6.X</w:t>
      </w:r>
      <w:r>
        <w:rPr>
          <w:lang w:eastAsia="ko-KR"/>
        </w:rPr>
        <w:tab/>
      </w:r>
      <w:r>
        <w:t>Solution</w:t>
      </w:r>
      <w:r>
        <w:rPr>
          <w:rFonts w:hint="eastAsia"/>
          <w:lang w:eastAsia="zh-CN"/>
        </w:rPr>
        <w:t xml:space="preserve"> #</w:t>
      </w:r>
      <w:r>
        <w:rPr>
          <w:lang w:eastAsia="zh-CN"/>
        </w:rPr>
        <w:t>X</w:t>
      </w:r>
      <w:r>
        <w:t xml:space="preserve">: </w:t>
      </w:r>
      <w:bookmarkEnd w:id="1"/>
      <w:bookmarkEnd w:id="2"/>
      <w:bookmarkEnd w:id="3"/>
      <w:bookmarkEnd w:id="4"/>
      <w:bookmarkEnd w:id="5"/>
      <w:bookmarkEnd w:id="6"/>
      <w:bookmarkEnd w:id="7"/>
      <w:bookmarkEnd w:id="8"/>
      <w:bookmarkEnd w:id="9"/>
      <w:bookmarkEnd w:id="10"/>
      <w:bookmarkEnd w:id="11"/>
      <w:bookmarkEnd w:id="12"/>
      <w:bookmarkEnd w:id="13"/>
      <w:r>
        <w:t xml:space="preserve">Handling of GST parameters impact on UE and NAS procedures </w:t>
      </w:r>
    </w:p>
    <w:p w14:paraId="168A40EF" w14:textId="632E3B62" w:rsidR="00C311D8" w:rsidRDefault="00C311D8" w:rsidP="00C311D8">
      <w:pPr>
        <w:pStyle w:val="Heading3"/>
      </w:pPr>
      <w:bookmarkStart w:id="17" w:name="_Toc509873780"/>
      <w:bookmarkStart w:id="18" w:name="_Toc20227986"/>
      <w:bookmarkStart w:id="19" w:name="_Toc22125439"/>
      <w:bookmarkStart w:id="20" w:name="_Toc22125859"/>
      <w:bookmarkStart w:id="21" w:name="_Toc22126133"/>
      <w:bookmarkStart w:id="22" w:name="_Toc22183819"/>
      <w:bookmarkStart w:id="23" w:name="_Toc22183889"/>
      <w:bookmarkStart w:id="24" w:name="_Toc22184059"/>
      <w:bookmarkStart w:id="25" w:name="_Toc22184161"/>
      <w:bookmarkStart w:id="26" w:name="_Toc22261937"/>
      <w:bookmarkStart w:id="27" w:name="_Toc25971114"/>
      <w:bookmarkStart w:id="28" w:name="_Toc25971358"/>
      <w:bookmarkStart w:id="29" w:name="_Toc26360282"/>
      <w:bookmarkStart w:id="30" w:name="_Toc26360351"/>
      <w:r>
        <w:t>6.X.</w:t>
      </w:r>
      <w:r>
        <w:rPr>
          <w:rFonts w:hint="eastAsia"/>
        </w:rPr>
        <w:t>1</w:t>
      </w:r>
      <w:r>
        <w:rPr>
          <w:rFonts w:hint="eastAsia"/>
        </w:rPr>
        <w:tab/>
      </w:r>
      <w:r>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2B8BDF8" w14:textId="294BE803" w:rsidR="00C311D8" w:rsidRDefault="001343EF" w:rsidP="001343EF">
      <w:bookmarkStart w:id="31" w:name="_Toc509873781"/>
      <w:bookmarkStart w:id="32" w:name="_Toc20227987"/>
      <w:bookmarkStart w:id="33" w:name="_Toc22125440"/>
      <w:bookmarkStart w:id="34" w:name="_Toc22125860"/>
      <w:bookmarkStart w:id="35" w:name="_Toc22126134"/>
      <w:bookmarkStart w:id="36" w:name="_Toc22183820"/>
      <w:bookmarkStart w:id="37" w:name="_Toc22183890"/>
      <w:bookmarkStart w:id="38" w:name="_Toc22184060"/>
      <w:bookmarkStart w:id="39" w:name="_Toc22184162"/>
      <w:bookmarkStart w:id="40" w:name="_Toc22261938"/>
      <w:bookmarkStart w:id="41" w:name="_Toc25971115"/>
      <w:bookmarkStart w:id="42" w:name="_Toc25971359"/>
      <w:r>
        <w:t>This solution addressing the handling of GST parameters in terms of allowing or rejecting S-NSSAIs requested by a UE, allowing or rejecting PDU sessions requested by a UE, for S-NSSAIs subject to restrictions associated to GST parameters.</w:t>
      </w:r>
    </w:p>
    <w:p w14:paraId="1FE93564" w14:textId="2663F882" w:rsidR="001343EF" w:rsidRDefault="001343EF" w:rsidP="001343EF">
      <w:r>
        <w:t>The solution applies to various key issues since it addresses the whole set of GST parameters.</w:t>
      </w:r>
    </w:p>
    <w:p w14:paraId="1E15A6F3" w14:textId="64415922" w:rsidR="001343EF" w:rsidRDefault="001343EF" w:rsidP="001343EF">
      <w:pPr>
        <w:pStyle w:val="Heading4"/>
      </w:pPr>
      <w:r>
        <w:t>6.X.1.1 Specific GST parameters handling</w:t>
      </w:r>
    </w:p>
    <w:p w14:paraId="3A055940" w14:textId="36C20EC8" w:rsidR="001343EF" w:rsidRPr="001343EF" w:rsidRDefault="001343EF" w:rsidP="001343EF">
      <w:r>
        <w:t>The following table analyses the GST parameters and identify whether the enforcement of the related restrictions shall be applied at MM level by the AMF or SM level by the SMF.</w:t>
      </w:r>
    </w:p>
    <w:tbl>
      <w:tblPr>
        <w:tblStyle w:val="TableGrid"/>
        <w:tblW w:w="9108" w:type="dxa"/>
        <w:tblLook w:val="04A0" w:firstRow="1" w:lastRow="0" w:firstColumn="1" w:lastColumn="0" w:noHBand="0" w:noVBand="1"/>
      </w:tblPr>
      <w:tblGrid>
        <w:gridCol w:w="1548"/>
        <w:gridCol w:w="4770"/>
        <w:gridCol w:w="2790"/>
      </w:tblGrid>
      <w:tr w:rsidR="001343EF" w14:paraId="3AD26354" w14:textId="77777777" w:rsidTr="00810B21">
        <w:tc>
          <w:tcPr>
            <w:tcW w:w="1548" w:type="dxa"/>
            <w:vAlign w:val="center"/>
          </w:tcPr>
          <w:p w14:paraId="3FB28B26" w14:textId="77777777" w:rsidR="001343EF" w:rsidRPr="00CF28A5" w:rsidRDefault="001343EF" w:rsidP="00810B21">
            <w:pPr>
              <w:jc w:val="center"/>
              <w:rPr>
                <w:b/>
              </w:rPr>
            </w:pPr>
            <w:r w:rsidRPr="00CF28A5">
              <w:rPr>
                <w:b/>
              </w:rPr>
              <w:t>GST Parameter</w:t>
            </w:r>
          </w:p>
        </w:tc>
        <w:tc>
          <w:tcPr>
            <w:tcW w:w="4770" w:type="dxa"/>
            <w:vAlign w:val="center"/>
          </w:tcPr>
          <w:p w14:paraId="3F910699" w14:textId="77777777" w:rsidR="001343EF" w:rsidRPr="00CF28A5" w:rsidRDefault="001343EF" w:rsidP="00810B21">
            <w:pPr>
              <w:jc w:val="center"/>
              <w:rPr>
                <w:b/>
              </w:rPr>
            </w:pPr>
            <w:r w:rsidRPr="00CF28A5">
              <w:rPr>
                <w:b/>
              </w:rPr>
              <w:t>Description</w:t>
            </w:r>
          </w:p>
        </w:tc>
        <w:tc>
          <w:tcPr>
            <w:tcW w:w="2790" w:type="dxa"/>
            <w:vAlign w:val="center"/>
          </w:tcPr>
          <w:p w14:paraId="39B6F499" w14:textId="77777777" w:rsidR="001343EF" w:rsidRPr="00CF28A5" w:rsidRDefault="001343EF" w:rsidP="00810B21">
            <w:pPr>
              <w:jc w:val="center"/>
              <w:rPr>
                <w:b/>
              </w:rPr>
            </w:pPr>
            <w:r w:rsidRPr="00CF28A5">
              <w:rPr>
                <w:b/>
              </w:rPr>
              <w:t>Applicability</w:t>
            </w:r>
            <w:r>
              <w:rPr>
                <w:b/>
              </w:rPr>
              <w:t xml:space="preserve"> (MM/AMF or SM/SMF)</w:t>
            </w:r>
          </w:p>
        </w:tc>
      </w:tr>
      <w:tr w:rsidR="001343EF" w14:paraId="46FB9A05" w14:textId="77777777" w:rsidTr="00810B21">
        <w:tc>
          <w:tcPr>
            <w:tcW w:w="1548" w:type="dxa"/>
            <w:vAlign w:val="center"/>
          </w:tcPr>
          <w:p w14:paraId="34396DE0" w14:textId="77777777" w:rsidR="001343EF" w:rsidRDefault="001343EF" w:rsidP="00810B21">
            <w:r>
              <w:t>Coverage</w:t>
            </w:r>
          </w:p>
        </w:tc>
        <w:tc>
          <w:tcPr>
            <w:tcW w:w="4770" w:type="dxa"/>
            <w:vAlign w:val="center"/>
          </w:tcPr>
          <w:p w14:paraId="1A38F47B" w14:textId="77777777" w:rsidR="001343EF" w:rsidRDefault="001343EF" w:rsidP="00810B21">
            <w:r>
              <w:t xml:space="preserve">Specifies the coverage area of the network slice - the area where the terminals can access a </w:t>
            </w:r>
            <w:proofErr w:type="gramStart"/>
            <w:r>
              <w:t>particular network</w:t>
            </w:r>
            <w:proofErr w:type="gramEnd"/>
            <w:r>
              <w:t xml:space="preserve"> slice. E.g. global, national, regional, outdoors, indoors. This may be based on RAN node location and coverage, or geographic partitioning (e.g. partitioning a geographical region into a set of zones/grids, and coverage is described by the zone numbers in which the </w:t>
            </w:r>
            <w:r>
              <w:lastRenderedPageBreak/>
              <w:t>network slice should be available).</w:t>
            </w:r>
          </w:p>
        </w:tc>
        <w:tc>
          <w:tcPr>
            <w:tcW w:w="2790" w:type="dxa"/>
            <w:vAlign w:val="center"/>
          </w:tcPr>
          <w:p w14:paraId="1607DED0" w14:textId="77777777" w:rsidR="001343EF" w:rsidRDefault="001343EF" w:rsidP="00810B21">
            <w:r>
              <w:lastRenderedPageBreak/>
              <w:t>AMF, based on location of UE and RAN node</w:t>
            </w:r>
          </w:p>
        </w:tc>
      </w:tr>
      <w:tr w:rsidR="001343EF" w14:paraId="708EA523" w14:textId="77777777" w:rsidTr="00810B21">
        <w:tc>
          <w:tcPr>
            <w:tcW w:w="1548" w:type="dxa"/>
            <w:vAlign w:val="center"/>
          </w:tcPr>
          <w:p w14:paraId="3D507E18" w14:textId="77777777" w:rsidR="001343EF" w:rsidRDefault="001343EF" w:rsidP="00810B21">
            <w:r>
              <w:t>Delay tolerance</w:t>
            </w:r>
          </w:p>
        </w:tc>
        <w:tc>
          <w:tcPr>
            <w:tcW w:w="4770" w:type="dxa"/>
            <w:vAlign w:val="center"/>
          </w:tcPr>
          <w:p w14:paraId="5402351C" w14:textId="77777777" w:rsidR="001343EF" w:rsidRDefault="001343EF" w:rsidP="00810B21">
            <w:r>
              <w:t xml:space="preserve">Provide the NSC with service delivery flexibility, especially for the vertical services that are not chasing a high system performance. For instance, the service will be delivered once the mobile system has </w:t>
            </w:r>
            <w:proofErr w:type="gramStart"/>
            <w:r>
              <w:t>sufficient</w:t>
            </w:r>
            <w:proofErr w:type="gramEnd"/>
            <w:r>
              <w:t xml:space="preserve"> resources or during the off-peak hours. For this type of traffic, it is not too critical how long it takes to deliver the amount of data, e.g. within hours, days, weeks, etc.</w:t>
            </w:r>
            <w:r>
              <w:rPr>
                <w:rFonts w:ascii="Arial" w:eastAsia="Arial" w:hAnsi="Arial" w:cs="Arial"/>
                <w:b/>
              </w:rPr>
              <w:t xml:space="preserve"> </w:t>
            </w:r>
            <w:r>
              <w:t xml:space="preserve">For instance, this type of traffic could be scheduled for transmission in dedicated times of the day when the traffic load is </w:t>
            </w:r>
            <w:proofErr w:type="gramStart"/>
            <w:r>
              <w:t>low</w:t>
            </w:r>
            <w:proofErr w:type="gramEnd"/>
            <w:r>
              <w:t xml:space="preserve"> or this traffic could get an own traffic class which is de-prioritized over all other traffic</w:t>
            </w:r>
          </w:p>
        </w:tc>
        <w:tc>
          <w:tcPr>
            <w:tcW w:w="2790" w:type="dxa"/>
            <w:vAlign w:val="center"/>
          </w:tcPr>
          <w:p w14:paraId="73BC5D91" w14:textId="77777777" w:rsidR="001343EF" w:rsidRDefault="001343EF" w:rsidP="00810B21">
            <w:r>
              <w:t>AMF can enforce it for RA or PLMN</w:t>
            </w:r>
          </w:p>
          <w:p w14:paraId="1C5E812F" w14:textId="77777777" w:rsidR="001343EF" w:rsidRPr="001343EF" w:rsidRDefault="001343EF" w:rsidP="00810B21">
            <w:r>
              <w:t>(alternative): AMF allows the slice but SMF rejects PDU session establishment</w:t>
            </w:r>
          </w:p>
        </w:tc>
      </w:tr>
      <w:tr w:rsidR="001343EF" w14:paraId="0C3356B7" w14:textId="77777777" w:rsidTr="00810B21">
        <w:tc>
          <w:tcPr>
            <w:tcW w:w="1548" w:type="dxa"/>
            <w:vAlign w:val="center"/>
          </w:tcPr>
          <w:p w14:paraId="2B623158" w14:textId="77777777" w:rsidR="001343EF" w:rsidRDefault="001343EF" w:rsidP="00810B21">
            <w:r>
              <w:t>Deterministic communication</w:t>
            </w:r>
          </w:p>
        </w:tc>
        <w:tc>
          <w:tcPr>
            <w:tcW w:w="4770" w:type="dxa"/>
            <w:vAlign w:val="center"/>
          </w:tcPr>
          <w:p w14:paraId="710BB9BC" w14:textId="77777777" w:rsidR="001343EF" w:rsidRDefault="001343EF" w:rsidP="00810B21">
            <w:pPr>
              <w:spacing w:after="10" w:line="259" w:lineRule="auto"/>
            </w:pPr>
            <w:r>
              <w:t>Defines if the network slice supports deterministic communication for periodic user traffic (i.e. a transmission interval in which a single packet is transmitted that is repeated). Periodic traffic refers to the type of traffic with periodic transmissions. Can have a periodicity associated in seconds (e.g. Motion control /printing machine - 2*10</w:t>
            </w:r>
            <w:r>
              <w:rPr>
                <w:vertAlign w:val="superscript"/>
              </w:rPr>
              <w:t>3</w:t>
            </w:r>
            <w:r>
              <w:t xml:space="preserve"> seconds; Motion control/machine tool - 500*10</w:t>
            </w:r>
            <w:r>
              <w:rPr>
                <w:vertAlign w:val="superscript"/>
              </w:rPr>
              <w:t>6</w:t>
            </w:r>
            <w:r>
              <w:t xml:space="preserve"> seconds). Determinism refers to whether the delay between transmission of a message and receipt of the message at the destination address is stable (within bounds). A network slice could support multiple periodicities. </w:t>
            </w:r>
          </w:p>
          <w:p w14:paraId="69E1470C" w14:textId="77777777" w:rsidR="001343EF" w:rsidRDefault="001343EF" w:rsidP="00810B21"/>
        </w:tc>
        <w:tc>
          <w:tcPr>
            <w:tcW w:w="2790" w:type="dxa"/>
            <w:vAlign w:val="center"/>
          </w:tcPr>
          <w:p w14:paraId="026F8AFA" w14:textId="77777777" w:rsidR="001343EF" w:rsidRDefault="001343EF" w:rsidP="00810B21">
            <w:r>
              <w:t>AMF</w:t>
            </w:r>
            <w:r>
              <w:br/>
            </w:r>
          </w:p>
        </w:tc>
      </w:tr>
      <w:tr w:rsidR="001343EF" w14:paraId="5365A837" w14:textId="77777777" w:rsidTr="00810B21">
        <w:tc>
          <w:tcPr>
            <w:tcW w:w="1548" w:type="dxa"/>
            <w:vAlign w:val="center"/>
          </w:tcPr>
          <w:p w14:paraId="28925F4F" w14:textId="77777777" w:rsidR="001343EF" w:rsidRDefault="001343EF" w:rsidP="00810B21">
            <w:r>
              <w:t>Downlink throughput per network slice</w:t>
            </w:r>
          </w:p>
        </w:tc>
        <w:tc>
          <w:tcPr>
            <w:tcW w:w="4770" w:type="dxa"/>
            <w:vAlign w:val="center"/>
          </w:tcPr>
          <w:p w14:paraId="125F2658" w14:textId="77777777" w:rsidR="001343EF" w:rsidRDefault="001343EF" w:rsidP="00810B21">
            <w:r>
              <w:t xml:space="preserve">Attribute used to set throughput guarantees per network slice (i.e. is the achievable data rate of the network slice in downlink that is available ubiquitously across the coverage area of the slice?) This can include a guaranteed downlink throughput and/or a maximum downlink throughput. Maximum throughput can be used to offer different network slice contract qualities level, e.g. gold, silver and bronze which have different maximum throughput values. </w:t>
            </w:r>
          </w:p>
        </w:tc>
        <w:tc>
          <w:tcPr>
            <w:tcW w:w="2790" w:type="dxa"/>
            <w:vAlign w:val="center"/>
          </w:tcPr>
          <w:p w14:paraId="674EC197" w14:textId="6955A751" w:rsidR="001343EF" w:rsidRPr="008D2047" w:rsidRDefault="001343EF" w:rsidP="00810B21">
            <w:r>
              <w:t xml:space="preserve">AMF or SMF (see below for details) </w:t>
            </w:r>
          </w:p>
        </w:tc>
      </w:tr>
      <w:tr w:rsidR="001343EF" w14:paraId="0973FDBB" w14:textId="77777777" w:rsidTr="00810B21">
        <w:tc>
          <w:tcPr>
            <w:tcW w:w="1548" w:type="dxa"/>
            <w:vAlign w:val="center"/>
          </w:tcPr>
          <w:p w14:paraId="7DF32CC7" w14:textId="77777777" w:rsidR="001343EF" w:rsidRDefault="001343EF" w:rsidP="00810B21">
            <w:r>
              <w:t>Downlink throughput per UE</w:t>
            </w:r>
          </w:p>
        </w:tc>
        <w:tc>
          <w:tcPr>
            <w:tcW w:w="4770" w:type="dxa"/>
            <w:vAlign w:val="center"/>
          </w:tcPr>
          <w:p w14:paraId="7509D696" w14:textId="77777777" w:rsidR="001343EF" w:rsidRDefault="001343EF" w:rsidP="00810B21">
            <w:r>
              <w:t xml:space="preserve">Used to set different guarantees in terms of throughput experienced by the customer in downlink. Can include a guaranteed downlink throughput and/or a maximum downlink throughput. Orchestrator may use this attribute to orchestrate the resources and (R)AN/CN may use this attribute to optimize the scheduling. </w:t>
            </w:r>
          </w:p>
        </w:tc>
        <w:tc>
          <w:tcPr>
            <w:tcW w:w="2790" w:type="dxa"/>
            <w:vAlign w:val="center"/>
          </w:tcPr>
          <w:p w14:paraId="157A21EB" w14:textId="77777777" w:rsidR="001343EF" w:rsidRDefault="001343EF" w:rsidP="00810B21">
            <w:r>
              <w:t>Same as Downlink throughput per network slice</w:t>
            </w:r>
          </w:p>
        </w:tc>
      </w:tr>
      <w:tr w:rsidR="001343EF" w14:paraId="49528D9B" w14:textId="77777777" w:rsidTr="00810B21">
        <w:tc>
          <w:tcPr>
            <w:tcW w:w="1548" w:type="dxa"/>
            <w:vAlign w:val="center"/>
          </w:tcPr>
          <w:p w14:paraId="41D99BBE" w14:textId="77777777" w:rsidR="001343EF" w:rsidRDefault="001343EF" w:rsidP="00810B21">
            <w:r>
              <w:t>Uplink throughput per network slice</w:t>
            </w:r>
          </w:p>
        </w:tc>
        <w:tc>
          <w:tcPr>
            <w:tcW w:w="4770" w:type="dxa"/>
            <w:vAlign w:val="center"/>
          </w:tcPr>
          <w:p w14:paraId="54389353" w14:textId="77777777" w:rsidR="001343EF" w:rsidRDefault="001343EF" w:rsidP="00810B21">
            <w:r>
              <w:t>Achievable data rate of the network slice instance in uplink that is available ubiquitously across the coverage area of the network slice (guaranteed uplink throughput, maximum uplink throughput).</w:t>
            </w:r>
          </w:p>
        </w:tc>
        <w:tc>
          <w:tcPr>
            <w:tcW w:w="2790" w:type="dxa"/>
            <w:vAlign w:val="center"/>
          </w:tcPr>
          <w:p w14:paraId="1978C60D" w14:textId="77777777" w:rsidR="001343EF" w:rsidRPr="008D2047" w:rsidRDefault="001343EF" w:rsidP="00810B21">
            <w:r>
              <w:t>Same as Downlink throughput per network slice</w:t>
            </w:r>
          </w:p>
        </w:tc>
      </w:tr>
      <w:tr w:rsidR="001343EF" w14:paraId="56F8A8BC" w14:textId="77777777" w:rsidTr="00810B21">
        <w:tc>
          <w:tcPr>
            <w:tcW w:w="1548" w:type="dxa"/>
            <w:vAlign w:val="center"/>
          </w:tcPr>
          <w:p w14:paraId="7F0F4594" w14:textId="77777777" w:rsidR="001343EF" w:rsidRDefault="001343EF" w:rsidP="00810B21">
            <w:r>
              <w:t>Uplink throughput per UE</w:t>
            </w:r>
          </w:p>
        </w:tc>
        <w:tc>
          <w:tcPr>
            <w:tcW w:w="4770" w:type="dxa"/>
            <w:vAlign w:val="center"/>
          </w:tcPr>
          <w:p w14:paraId="07ED298B" w14:textId="77777777" w:rsidR="001343EF" w:rsidRDefault="001343EF" w:rsidP="00810B21">
            <w:r>
              <w:t>Dependent on the selected service type, defines as guaranteed uplink throughput and maximum uplink throughput.</w:t>
            </w:r>
          </w:p>
        </w:tc>
        <w:tc>
          <w:tcPr>
            <w:tcW w:w="2790" w:type="dxa"/>
            <w:vAlign w:val="center"/>
          </w:tcPr>
          <w:p w14:paraId="305F66D4" w14:textId="77777777" w:rsidR="001343EF" w:rsidRDefault="001343EF" w:rsidP="00810B21">
            <w:r>
              <w:t>Same as Downlink throughput per network slice</w:t>
            </w:r>
          </w:p>
        </w:tc>
      </w:tr>
      <w:tr w:rsidR="001343EF" w14:paraId="53374532" w14:textId="77777777" w:rsidTr="00810B21">
        <w:tc>
          <w:tcPr>
            <w:tcW w:w="1548" w:type="dxa"/>
            <w:vAlign w:val="center"/>
          </w:tcPr>
          <w:p w14:paraId="1C6E0659" w14:textId="77777777" w:rsidR="001343EF" w:rsidRDefault="001343EF" w:rsidP="00810B21">
            <w:r>
              <w:t>Energy efficiency</w:t>
            </w:r>
          </w:p>
        </w:tc>
        <w:tc>
          <w:tcPr>
            <w:tcW w:w="4770" w:type="dxa"/>
            <w:vAlign w:val="center"/>
          </w:tcPr>
          <w:p w14:paraId="43F633D6" w14:textId="77777777" w:rsidR="001343EF" w:rsidRDefault="001343EF" w:rsidP="00810B21">
            <w:pPr>
              <w:spacing w:after="57" w:line="259" w:lineRule="auto"/>
            </w:pPr>
            <w:r>
              <w:t xml:space="preserve">Describes the energy efficiency of the network slice, i.e. the ratio between the performance indicator, in terms of data volume (DV), and the energy consumption (EC) when assessed during the same time frame. Examples: 180 b/J (Dense urban area), 40 b/J (Urban area), 2 b/J (Rural area).  </w:t>
            </w:r>
          </w:p>
        </w:tc>
        <w:tc>
          <w:tcPr>
            <w:tcW w:w="2790" w:type="dxa"/>
            <w:vAlign w:val="center"/>
          </w:tcPr>
          <w:p w14:paraId="572F78B9" w14:textId="77777777" w:rsidR="001343EF" w:rsidRPr="001343EF" w:rsidRDefault="001343EF" w:rsidP="00810B21">
            <w:r>
              <w:t xml:space="preserve">FFS: Unclear how this can be used. Seems AMF based on some NF feeding the measured efficiency to the UE. </w:t>
            </w:r>
          </w:p>
        </w:tc>
      </w:tr>
      <w:tr w:rsidR="001343EF" w14:paraId="57B5F252" w14:textId="77777777" w:rsidTr="00810B21">
        <w:tc>
          <w:tcPr>
            <w:tcW w:w="1548" w:type="dxa"/>
            <w:vAlign w:val="center"/>
          </w:tcPr>
          <w:p w14:paraId="0A666FE6" w14:textId="77777777" w:rsidR="001343EF" w:rsidRDefault="001343EF" w:rsidP="00810B21">
            <w:pPr>
              <w:spacing w:after="38" w:line="273" w:lineRule="auto"/>
            </w:pPr>
            <w:r>
              <w:t xml:space="preserve">Group communication </w:t>
            </w:r>
            <w:r>
              <w:lastRenderedPageBreak/>
              <w:t xml:space="preserve">support </w:t>
            </w:r>
          </w:p>
          <w:p w14:paraId="16DF9124" w14:textId="77777777" w:rsidR="001343EF" w:rsidRDefault="001343EF" w:rsidP="00810B21">
            <w:pPr>
              <w:spacing w:after="38" w:line="273" w:lineRule="auto"/>
            </w:pPr>
          </w:p>
        </w:tc>
        <w:tc>
          <w:tcPr>
            <w:tcW w:w="4770" w:type="dxa"/>
            <w:vAlign w:val="center"/>
          </w:tcPr>
          <w:p w14:paraId="19CFC99A" w14:textId="77777777" w:rsidR="001343EF" w:rsidRDefault="001343EF" w:rsidP="00810B21">
            <w:pPr>
              <w:spacing w:after="38" w:line="273" w:lineRule="auto"/>
              <w:rPr>
                <w:rFonts w:ascii="Arial" w:eastAsia="Arial" w:hAnsi="Arial" w:cs="Arial"/>
                <w:b/>
              </w:rPr>
            </w:pPr>
            <w:r>
              <w:lastRenderedPageBreak/>
              <w:t xml:space="preserve">Describes which type of group communication is provided by the network slice (e.g. not available, Single </w:t>
            </w:r>
            <w:r>
              <w:lastRenderedPageBreak/>
              <w:t>Cell Point to Multipoint (SCPTM), Broadcast/Multicast, Broadcast/Multicast + SCPTM).</w:t>
            </w:r>
            <w:r>
              <w:rPr>
                <w:rFonts w:ascii="Arial" w:eastAsia="Arial" w:hAnsi="Arial" w:cs="Arial"/>
                <w:b/>
              </w:rPr>
              <w:t xml:space="preserve"> </w:t>
            </w:r>
          </w:p>
          <w:p w14:paraId="5375E346" w14:textId="77777777" w:rsidR="001343EF" w:rsidRDefault="001343EF" w:rsidP="00810B21"/>
        </w:tc>
        <w:tc>
          <w:tcPr>
            <w:tcW w:w="2790" w:type="dxa"/>
            <w:vAlign w:val="center"/>
          </w:tcPr>
          <w:p w14:paraId="6C9CD576" w14:textId="77777777" w:rsidR="001343EF" w:rsidRDefault="001343EF" w:rsidP="00810B21">
            <w:r>
              <w:lastRenderedPageBreak/>
              <w:t xml:space="preserve">AMF only (permanent rejection </w:t>
            </w:r>
            <w:r>
              <w:lastRenderedPageBreak/>
              <w:t>per PLMN)</w:t>
            </w:r>
          </w:p>
        </w:tc>
      </w:tr>
      <w:tr w:rsidR="001343EF" w14:paraId="662DAE33" w14:textId="77777777" w:rsidTr="00810B21">
        <w:tc>
          <w:tcPr>
            <w:tcW w:w="1548" w:type="dxa"/>
            <w:vAlign w:val="center"/>
          </w:tcPr>
          <w:p w14:paraId="7A1E27B3" w14:textId="77777777" w:rsidR="001343EF" w:rsidRDefault="001343EF" w:rsidP="00810B21">
            <w:r>
              <w:lastRenderedPageBreak/>
              <w:t>Isolation level</w:t>
            </w:r>
          </w:p>
        </w:tc>
        <w:tc>
          <w:tcPr>
            <w:tcW w:w="4770" w:type="dxa"/>
            <w:vAlign w:val="center"/>
          </w:tcPr>
          <w:p w14:paraId="71E5FE27" w14:textId="77777777" w:rsidR="001343EF" w:rsidRDefault="001343EF" w:rsidP="00810B21">
            <w:r>
              <w:t>A network slice instance may be fully or partly, logically and/or physically, isolated from another network slice instance (e.g. Physical, Process and threads isolation, Physical memory isolation, Physical network isolation, Logical, Virtual resources isolation, Network functions isolation, Tenant/Service Isolation).</w:t>
            </w:r>
          </w:p>
        </w:tc>
        <w:tc>
          <w:tcPr>
            <w:tcW w:w="2790" w:type="dxa"/>
            <w:vAlign w:val="center"/>
          </w:tcPr>
          <w:p w14:paraId="1F540F63" w14:textId="77777777" w:rsidR="001343EF" w:rsidRDefault="001343EF" w:rsidP="00810B21">
            <w:r>
              <w:t>AMF only (permanent rejection per PLMN)</w:t>
            </w:r>
          </w:p>
          <w:p w14:paraId="76DF0E1F" w14:textId="77777777" w:rsidR="001343EF" w:rsidRDefault="001343EF" w:rsidP="00810B21">
            <w:r>
              <w:t>This can be applied at the access type level i.e. the UE can either access the slice over 3GPP or non-3GPP access but not both.</w:t>
            </w:r>
          </w:p>
        </w:tc>
      </w:tr>
      <w:tr w:rsidR="001343EF" w14:paraId="35DAFF69" w14:textId="77777777" w:rsidTr="00810B21">
        <w:tc>
          <w:tcPr>
            <w:tcW w:w="1548" w:type="dxa"/>
            <w:vAlign w:val="center"/>
          </w:tcPr>
          <w:p w14:paraId="0180CCF2" w14:textId="77777777" w:rsidR="001343EF" w:rsidRDefault="001343EF" w:rsidP="00810B21">
            <w:r>
              <w:t xml:space="preserve">Location based message delivery </w:t>
            </w:r>
          </w:p>
        </w:tc>
        <w:tc>
          <w:tcPr>
            <w:tcW w:w="4770" w:type="dxa"/>
            <w:vAlign w:val="center"/>
          </w:tcPr>
          <w:p w14:paraId="45432167" w14:textId="77777777" w:rsidR="001343EF" w:rsidRDefault="001343EF" w:rsidP="00810B21">
            <w:r>
              <w:t xml:space="preserve">This attribute describes the location-based delivery of information, e.g. </w:t>
            </w:r>
            <w:proofErr w:type="spellStart"/>
            <w:r>
              <w:t>GeoNetworking</w:t>
            </w:r>
            <w:proofErr w:type="spellEnd"/>
            <w:r>
              <w:t>, not related to the geographical spread of the network slice itself. This attribute can be used to distribute information, e.g. signalling messages, to terminals within a specific geographical area.</w:t>
            </w:r>
          </w:p>
        </w:tc>
        <w:tc>
          <w:tcPr>
            <w:tcW w:w="2790" w:type="dxa"/>
            <w:vAlign w:val="center"/>
          </w:tcPr>
          <w:p w14:paraId="3B653CD1" w14:textId="77777777" w:rsidR="001343EF" w:rsidRDefault="001343EF" w:rsidP="00810B21">
            <w:r>
              <w:t>AMF only (permanent rejection per PLMN)</w:t>
            </w:r>
          </w:p>
        </w:tc>
      </w:tr>
      <w:tr w:rsidR="001343EF" w14:paraId="105E415B" w14:textId="77777777" w:rsidTr="00810B21">
        <w:tc>
          <w:tcPr>
            <w:tcW w:w="1548" w:type="dxa"/>
            <w:vAlign w:val="center"/>
          </w:tcPr>
          <w:p w14:paraId="2D851EAF" w14:textId="77777777" w:rsidR="001343EF" w:rsidRDefault="001343EF" w:rsidP="00810B21">
            <w:r>
              <w:t>Maximum supported packet size</w:t>
            </w:r>
          </w:p>
        </w:tc>
        <w:tc>
          <w:tcPr>
            <w:tcW w:w="4770" w:type="dxa"/>
            <w:vAlign w:val="center"/>
          </w:tcPr>
          <w:p w14:paraId="66F6FA9C" w14:textId="77777777" w:rsidR="001343EF" w:rsidRDefault="001343EF" w:rsidP="00810B21">
            <w:r>
              <w:t xml:space="preserve">Maximum packet size supported by the network slice and may be important for URLLC (Ultra-Reliable Low Latency Communication) and </w:t>
            </w:r>
            <w:proofErr w:type="spellStart"/>
            <w:r>
              <w:t>MIoT</w:t>
            </w:r>
            <w:proofErr w:type="spellEnd"/>
            <w:r>
              <w:t xml:space="preserve"> (Massive IoT), or to indicate a supported maximum transmission unit (MTU). E.g. </w:t>
            </w:r>
            <w:proofErr w:type="spellStart"/>
            <w:r>
              <w:t>eMBB</w:t>
            </w:r>
            <w:proofErr w:type="spellEnd"/>
            <w:r>
              <w:t xml:space="preserve"> 1500 Bytes; IoT 40 Bytes; URLLC 160 Bytes for 5 </w:t>
            </w:r>
            <w:proofErr w:type="spellStart"/>
            <w:r>
              <w:t>ms</w:t>
            </w:r>
            <w:proofErr w:type="spellEnd"/>
            <w:r>
              <w:t xml:space="preserve"> latency.</w:t>
            </w:r>
          </w:p>
        </w:tc>
        <w:tc>
          <w:tcPr>
            <w:tcW w:w="2790" w:type="dxa"/>
            <w:vAlign w:val="center"/>
          </w:tcPr>
          <w:p w14:paraId="2BF9271D" w14:textId="77777777" w:rsidR="001343EF" w:rsidRDefault="001343EF" w:rsidP="00810B21">
            <w:r>
              <w:t>AMF</w:t>
            </w:r>
            <w:r w:rsidRPr="00437750">
              <w:rPr>
                <w:b/>
              </w:rPr>
              <w:t xml:space="preserve"> </w:t>
            </w:r>
          </w:p>
        </w:tc>
      </w:tr>
      <w:tr w:rsidR="001343EF" w14:paraId="632527DE" w14:textId="77777777" w:rsidTr="00810B21">
        <w:tc>
          <w:tcPr>
            <w:tcW w:w="1548" w:type="dxa"/>
            <w:vAlign w:val="center"/>
          </w:tcPr>
          <w:p w14:paraId="0AFDEDEB" w14:textId="77777777" w:rsidR="001343EF" w:rsidRDefault="001343EF" w:rsidP="00810B21">
            <w:r>
              <w:t xml:space="preserve">Mission critical support </w:t>
            </w:r>
          </w:p>
          <w:p w14:paraId="4A9D0A24" w14:textId="77777777" w:rsidR="001343EF" w:rsidRDefault="001343EF" w:rsidP="00810B21"/>
        </w:tc>
        <w:tc>
          <w:tcPr>
            <w:tcW w:w="4770" w:type="dxa"/>
            <w:vAlign w:val="center"/>
          </w:tcPr>
          <w:p w14:paraId="059AE2A5" w14:textId="77777777" w:rsidR="001343EF" w:rsidRDefault="001343EF" w:rsidP="00810B21">
            <w:r>
              <w:t xml:space="preserve">Mission-critical (MC) leads to a priority of the network slice relative to others, for C-plane (Control Plane) and U-plane (User Plane) decisions. This is relative to a customer provider relationship and to a PLMN (Public land Mobile Network) </w:t>
            </w:r>
          </w:p>
        </w:tc>
        <w:tc>
          <w:tcPr>
            <w:tcW w:w="2790" w:type="dxa"/>
            <w:vAlign w:val="center"/>
          </w:tcPr>
          <w:p w14:paraId="21F58612" w14:textId="77777777" w:rsidR="001343EF" w:rsidRDefault="001343EF" w:rsidP="00810B21">
            <w:r>
              <w:t>AMF (permanent rejection per RA or per PLMN)</w:t>
            </w:r>
          </w:p>
        </w:tc>
      </w:tr>
      <w:tr w:rsidR="001343EF" w14:paraId="3BA632BF" w14:textId="77777777" w:rsidTr="00810B21">
        <w:tc>
          <w:tcPr>
            <w:tcW w:w="1548" w:type="dxa"/>
            <w:vAlign w:val="center"/>
          </w:tcPr>
          <w:p w14:paraId="23776CDB" w14:textId="77777777" w:rsidR="001343EF" w:rsidRDefault="001343EF" w:rsidP="00810B21">
            <w:r>
              <w:t>Mission-critical capability support</w:t>
            </w:r>
          </w:p>
        </w:tc>
        <w:tc>
          <w:tcPr>
            <w:tcW w:w="4770" w:type="dxa"/>
            <w:vAlign w:val="center"/>
          </w:tcPr>
          <w:p w14:paraId="3797D50B" w14:textId="77777777" w:rsidR="001343EF" w:rsidRDefault="001343EF" w:rsidP="00810B21">
            <w:pPr>
              <w:spacing w:after="0"/>
              <w:ind w:left="10"/>
            </w:pPr>
            <w:r>
              <w:t>Specifies what capabilities are available to support mission-critical services (Inter-user prioritization - admission and the scheduling of priorities for Packet Service users over non-PS users, and different priorities among PS users; pre-emption capability - allows non-PS users to be pre-empted by PS users, and a PS user to be pre-empted by another PS user; local control capability - allows dynamic and temporary assignment of inter-user prioritization and pre-emption levels to local PS users, e.g. local to an incident). More than one capability may be supported at once.</w:t>
            </w:r>
          </w:p>
        </w:tc>
        <w:tc>
          <w:tcPr>
            <w:tcW w:w="2790" w:type="dxa"/>
            <w:vAlign w:val="center"/>
          </w:tcPr>
          <w:p w14:paraId="56D4C569" w14:textId="77777777" w:rsidR="001343EF" w:rsidRDefault="001343EF" w:rsidP="00810B21">
            <w:r>
              <w:t>AMF (permanent rejection per RA or per PLMN)</w:t>
            </w:r>
          </w:p>
        </w:tc>
      </w:tr>
      <w:tr w:rsidR="001343EF" w14:paraId="3AD35B2E" w14:textId="77777777" w:rsidTr="00810B21">
        <w:tc>
          <w:tcPr>
            <w:tcW w:w="1548" w:type="dxa"/>
            <w:vAlign w:val="center"/>
          </w:tcPr>
          <w:p w14:paraId="71F5AEE9" w14:textId="77777777" w:rsidR="001343EF" w:rsidRDefault="001343EF" w:rsidP="00810B21">
            <w:r>
              <w:t>Mission-critical service support</w:t>
            </w:r>
          </w:p>
        </w:tc>
        <w:tc>
          <w:tcPr>
            <w:tcW w:w="4770" w:type="dxa"/>
            <w:vAlign w:val="center"/>
          </w:tcPr>
          <w:p w14:paraId="79442590" w14:textId="77777777" w:rsidR="001343EF" w:rsidRDefault="001343EF" w:rsidP="00810B21">
            <w:pPr>
              <w:spacing w:after="0"/>
              <w:ind w:left="10"/>
            </w:pPr>
            <w:r>
              <w:t xml:space="preserve">Specifies </w:t>
            </w:r>
            <w:proofErr w:type="gramStart"/>
            <w:r>
              <w:t>whether or not</w:t>
            </w:r>
            <w:proofErr w:type="gramEnd"/>
            <w:r>
              <w:t xml:space="preserve"> the network slice supports mission-critical push-to-talk (MCPTT; </w:t>
            </w:r>
            <w:proofErr w:type="spellStart"/>
            <w:r>
              <w:t>MCData</w:t>
            </w:r>
            <w:proofErr w:type="spellEnd"/>
            <w:r>
              <w:t xml:space="preserve">; </w:t>
            </w:r>
            <w:proofErr w:type="spellStart"/>
            <w:r>
              <w:t>MCVideo</w:t>
            </w:r>
            <w:proofErr w:type="spellEnd"/>
            <w:r>
              <w:t>; IOPS; MC interworking)</w:t>
            </w:r>
          </w:p>
        </w:tc>
        <w:tc>
          <w:tcPr>
            <w:tcW w:w="2790" w:type="dxa"/>
            <w:vAlign w:val="center"/>
          </w:tcPr>
          <w:p w14:paraId="46620E82" w14:textId="77777777" w:rsidR="001343EF" w:rsidRDefault="001343EF" w:rsidP="00810B21">
            <w:r>
              <w:t>AMF (permanent rejection per RA or per PLMN)</w:t>
            </w:r>
          </w:p>
        </w:tc>
      </w:tr>
      <w:tr w:rsidR="001343EF" w14:paraId="3C70345A" w14:textId="77777777" w:rsidTr="00810B21">
        <w:tc>
          <w:tcPr>
            <w:tcW w:w="1548" w:type="dxa"/>
            <w:vAlign w:val="center"/>
          </w:tcPr>
          <w:p w14:paraId="595DD843" w14:textId="77777777" w:rsidR="001343EF" w:rsidRDefault="001343EF" w:rsidP="00810B21">
            <w:proofErr w:type="spellStart"/>
            <w:r>
              <w:t>MMTel</w:t>
            </w:r>
            <w:proofErr w:type="spellEnd"/>
            <w:r>
              <w:t xml:space="preserve"> support</w:t>
            </w:r>
          </w:p>
        </w:tc>
        <w:tc>
          <w:tcPr>
            <w:tcW w:w="4770" w:type="dxa"/>
            <w:vAlign w:val="center"/>
          </w:tcPr>
          <w:p w14:paraId="003E7968" w14:textId="77777777" w:rsidR="001343EF" w:rsidRDefault="001343EF" w:rsidP="00810B21">
            <w:r>
              <w:t xml:space="preserve">Describes whether the network slice supports IP Multimedia Subsystem (IMS) and Multimedia Telephony Service </w:t>
            </w:r>
            <w:proofErr w:type="spellStart"/>
            <w:r>
              <w:t>MMTel</w:t>
            </w:r>
            <w:proofErr w:type="spellEnd"/>
          </w:p>
        </w:tc>
        <w:tc>
          <w:tcPr>
            <w:tcW w:w="2790" w:type="dxa"/>
            <w:vAlign w:val="center"/>
          </w:tcPr>
          <w:p w14:paraId="77C42FF1" w14:textId="77777777" w:rsidR="001343EF" w:rsidRDefault="001343EF" w:rsidP="00810B21">
            <w:r>
              <w:t>AMF (permanent rejection per RA or per PLMN)</w:t>
            </w:r>
          </w:p>
        </w:tc>
      </w:tr>
      <w:tr w:rsidR="001343EF" w14:paraId="6BA69D46" w14:textId="77777777" w:rsidTr="00810B21">
        <w:tc>
          <w:tcPr>
            <w:tcW w:w="1548" w:type="dxa"/>
            <w:vAlign w:val="center"/>
          </w:tcPr>
          <w:p w14:paraId="3795360A" w14:textId="77777777" w:rsidR="001343EF" w:rsidRDefault="001343EF" w:rsidP="00810B21">
            <w:r>
              <w:t xml:space="preserve">Network Slice Customer network functions </w:t>
            </w:r>
          </w:p>
          <w:p w14:paraId="7246F333" w14:textId="77777777" w:rsidR="001343EF" w:rsidRDefault="001343EF" w:rsidP="00810B21"/>
        </w:tc>
        <w:tc>
          <w:tcPr>
            <w:tcW w:w="4770" w:type="dxa"/>
            <w:vAlign w:val="center"/>
          </w:tcPr>
          <w:p w14:paraId="26ECD601" w14:textId="77777777" w:rsidR="001343EF" w:rsidRDefault="001343EF" w:rsidP="00810B21">
            <w:r>
              <w:t xml:space="preserve">Provides a list of network functions to be provided by the NSC, e.g. </w:t>
            </w:r>
            <w:proofErr w:type="gramStart"/>
            <w:r>
              <w:t>a</w:t>
            </w:r>
            <w:proofErr w:type="gramEnd"/>
            <w:r>
              <w:t xml:space="preserve"> NSC can own some Network Functions (e.g. UPF, UDM/AUSF). If the list is empty, the NSC is not expected to provide any network function relevant for the network slice instance. </w:t>
            </w:r>
          </w:p>
        </w:tc>
        <w:tc>
          <w:tcPr>
            <w:tcW w:w="2790" w:type="dxa"/>
            <w:vAlign w:val="center"/>
          </w:tcPr>
          <w:p w14:paraId="66DA9C2F" w14:textId="77777777" w:rsidR="001343EF" w:rsidRDefault="001343EF" w:rsidP="00810B21">
            <w:r>
              <w:t>AMF (permanent rejection per RA or per PLMN)</w:t>
            </w:r>
          </w:p>
        </w:tc>
      </w:tr>
      <w:tr w:rsidR="001343EF" w14:paraId="3DD2DD62" w14:textId="77777777" w:rsidTr="00810B21">
        <w:tc>
          <w:tcPr>
            <w:tcW w:w="1548" w:type="dxa"/>
            <w:vAlign w:val="center"/>
          </w:tcPr>
          <w:p w14:paraId="71EC7D57" w14:textId="77777777" w:rsidR="001343EF" w:rsidRDefault="001343EF" w:rsidP="00810B21">
            <w:r>
              <w:t>Number of connections</w:t>
            </w:r>
          </w:p>
        </w:tc>
        <w:tc>
          <w:tcPr>
            <w:tcW w:w="4770" w:type="dxa"/>
            <w:vAlign w:val="center"/>
          </w:tcPr>
          <w:p w14:paraId="189156A3" w14:textId="77777777" w:rsidR="001343EF" w:rsidRPr="001343EF" w:rsidRDefault="001343EF" w:rsidP="00810B21">
            <w:pPr>
              <w:rPr>
                <w:rFonts w:ascii="Arial" w:eastAsia="Arial" w:hAnsi="Arial" w:cs="Arial"/>
                <w:b/>
                <w:color w:val="FFFFFF"/>
                <w:sz w:val="22"/>
                <w:szCs w:val="22"/>
              </w:rPr>
            </w:pPr>
            <w:r>
              <w:t>Describes the maximum number of concurrent sessions supported by the network slice (e.g. 100,000 sessions).</w:t>
            </w:r>
          </w:p>
        </w:tc>
        <w:tc>
          <w:tcPr>
            <w:tcW w:w="2790" w:type="dxa"/>
            <w:vAlign w:val="center"/>
          </w:tcPr>
          <w:p w14:paraId="1AB57193" w14:textId="77777777" w:rsidR="001343EF" w:rsidRDefault="001343EF" w:rsidP="00810B21">
            <w:r>
              <w:t>AMF</w:t>
            </w:r>
          </w:p>
        </w:tc>
      </w:tr>
      <w:tr w:rsidR="001343EF" w14:paraId="5AC6774A" w14:textId="77777777" w:rsidTr="00810B21">
        <w:tc>
          <w:tcPr>
            <w:tcW w:w="1548" w:type="dxa"/>
            <w:vAlign w:val="center"/>
          </w:tcPr>
          <w:p w14:paraId="5D83CF4B" w14:textId="77777777" w:rsidR="001343EF" w:rsidRDefault="001343EF" w:rsidP="00810B21">
            <w:r>
              <w:t>Number of terminals</w:t>
            </w:r>
          </w:p>
        </w:tc>
        <w:tc>
          <w:tcPr>
            <w:tcW w:w="4770" w:type="dxa"/>
            <w:vAlign w:val="center"/>
          </w:tcPr>
          <w:p w14:paraId="24B45028" w14:textId="77777777" w:rsidR="001343EF" w:rsidRDefault="001343EF" w:rsidP="00810B21">
            <w:r>
              <w:t>Describes the maximum number of terminals supported by the network slice.</w:t>
            </w:r>
            <w:r>
              <w:rPr>
                <w:rFonts w:ascii="Arial" w:eastAsia="Arial" w:hAnsi="Arial" w:cs="Arial"/>
                <w:b/>
              </w:rPr>
              <w:t xml:space="preserve"> </w:t>
            </w:r>
          </w:p>
        </w:tc>
        <w:tc>
          <w:tcPr>
            <w:tcW w:w="2790" w:type="dxa"/>
            <w:vAlign w:val="center"/>
          </w:tcPr>
          <w:p w14:paraId="3473D531" w14:textId="77777777" w:rsidR="001343EF" w:rsidRDefault="001343EF" w:rsidP="00810B21">
            <w:r>
              <w:t>AMF (permanent rejection per RA or per PLMN)</w:t>
            </w:r>
          </w:p>
        </w:tc>
      </w:tr>
      <w:tr w:rsidR="001343EF" w14:paraId="349EF0E8" w14:textId="77777777" w:rsidTr="00810B21">
        <w:tc>
          <w:tcPr>
            <w:tcW w:w="1548" w:type="dxa"/>
            <w:vAlign w:val="center"/>
          </w:tcPr>
          <w:p w14:paraId="0ADB3E75" w14:textId="77777777" w:rsidR="001343EF" w:rsidRDefault="001343EF" w:rsidP="00810B21">
            <w:r>
              <w:lastRenderedPageBreak/>
              <w:t>Performance monitoring</w:t>
            </w:r>
          </w:p>
        </w:tc>
        <w:tc>
          <w:tcPr>
            <w:tcW w:w="4770" w:type="dxa"/>
            <w:vAlign w:val="center"/>
          </w:tcPr>
          <w:p w14:paraId="17F7C98D" w14:textId="77777777" w:rsidR="001343EF" w:rsidRDefault="001343EF" w:rsidP="00810B21">
            <w:r>
              <w:t xml:space="preserve">Provides the capability for NSC and NOP to monitor Key Quality Indicators (KQIs) and Key Performance Indicators (KPIs). KQIs reflect the end-to-end service performance and quality while KPIs reflect the performance of the network. E.g. Service Request Success Rate, Monitoring sample frequency (per second, minute, hour, threshold-based). </w:t>
            </w:r>
          </w:p>
        </w:tc>
        <w:tc>
          <w:tcPr>
            <w:tcW w:w="2790" w:type="dxa"/>
            <w:vAlign w:val="center"/>
          </w:tcPr>
          <w:p w14:paraId="17FBDECC" w14:textId="77777777" w:rsidR="001343EF" w:rsidRDefault="001343EF" w:rsidP="00810B21">
            <w:r>
              <w:t>AMF (permanent rejection per RA or per PLMN)</w:t>
            </w:r>
          </w:p>
        </w:tc>
      </w:tr>
      <w:tr w:rsidR="001343EF" w14:paraId="2B37B95C" w14:textId="77777777" w:rsidTr="00810B21">
        <w:tc>
          <w:tcPr>
            <w:tcW w:w="1548" w:type="dxa"/>
            <w:vAlign w:val="center"/>
          </w:tcPr>
          <w:p w14:paraId="508CC1FB" w14:textId="77777777" w:rsidR="001343EF" w:rsidRDefault="001343EF" w:rsidP="00810B21">
            <w:r>
              <w:t>Performance prediction</w:t>
            </w:r>
          </w:p>
        </w:tc>
        <w:tc>
          <w:tcPr>
            <w:tcW w:w="4770" w:type="dxa"/>
            <w:vAlign w:val="center"/>
          </w:tcPr>
          <w:p w14:paraId="42FAA1E2" w14:textId="77777777" w:rsidR="001343EF" w:rsidRDefault="001343EF" w:rsidP="00810B21">
            <w:r>
              <w:t xml:space="preserve">Defines the capability to allow the mobile system to predict the network and service status. Predictive QoS (Quality of Service) can be done for various Key Quality Indicators (KQIs) and Key Performance Indicators (KPIs). KQIs reflect the end-to-end service performance and quality, while KPIs reflect the performance of the network. The prediction is done for a specific point of time in the future and for a specific geolocation. KQIs and KPIs may include throughput, latency, service request success rate and a frequency of prediction. Comes from interest from 5GAA and ITU-T (Machine Learning for Future Networks including 5G (FG ML5G)). An API would be provided allowing the NSC to send a request (e.g. KPI prediction for a certain geo-location and a certain time in the future) and receiving the prediction. </w:t>
            </w:r>
          </w:p>
        </w:tc>
        <w:tc>
          <w:tcPr>
            <w:tcW w:w="2790" w:type="dxa"/>
            <w:vAlign w:val="center"/>
          </w:tcPr>
          <w:p w14:paraId="242143EE" w14:textId="77777777" w:rsidR="001343EF" w:rsidRDefault="001343EF" w:rsidP="00810B21">
            <w:r>
              <w:t>AMF (permanent rejection per RA or per PLMN)</w:t>
            </w:r>
          </w:p>
        </w:tc>
      </w:tr>
      <w:tr w:rsidR="001343EF" w14:paraId="6FAD397A" w14:textId="77777777" w:rsidTr="00810B21">
        <w:tc>
          <w:tcPr>
            <w:tcW w:w="1548" w:type="dxa"/>
            <w:vAlign w:val="center"/>
          </w:tcPr>
          <w:p w14:paraId="13CEC53B" w14:textId="77777777" w:rsidR="001343EF" w:rsidRDefault="001343EF" w:rsidP="00810B21">
            <w:r>
              <w:t>Positioning support</w:t>
            </w:r>
          </w:p>
        </w:tc>
        <w:tc>
          <w:tcPr>
            <w:tcW w:w="4770" w:type="dxa"/>
            <w:vAlign w:val="center"/>
          </w:tcPr>
          <w:p w14:paraId="7E7134DB" w14:textId="77777777" w:rsidR="001343EF" w:rsidRDefault="001343EF" w:rsidP="00810B21">
            <w:r>
              <w:t>Describes if the network slice provides geo-localization methods or supporting methods, in terms of availability (e.g. CIF, E-CID, OTDOA, RF fingerprinting, AECID, hybrid positioning, NET-RTK), prediction frequency (e.g. second, minute, hour, threshold-based), and accuracy (e.g. +/- 1m, +/- 0.01m).</w:t>
            </w:r>
          </w:p>
        </w:tc>
        <w:tc>
          <w:tcPr>
            <w:tcW w:w="2790" w:type="dxa"/>
            <w:vAlign w:val="center"/>
          </w:tcPr>
          <w:p w14:paraId="5805C040" w14:textId="77777777" w:rsidR="001343EF" w:rsidRDefault="001343EF" w:rsidP="00810B21">
            <w:r>
              <w:t>AMF (permanent rejection per RA or per PLMN)</w:t>
            </w:r>
          </w:p>
        </w:tc>
      </w:tr>
      <w:tr w:rsidR="001343EF" w14:paraId="14C4B096" w14:textId="77777777" w:rsidTr="00810B21">
        <w:tc>
          <w:tcPr>
            <w:tcW w:w="1548" w:type="dxa"/>
            <w:vAlign w:val="center"/>
          </w:tcPr>
          <w:p w14:paraId="6383028A" w14:textId="77777777" w:rsidR="001343EF" w:rsidRDefault="001343EF" w:rsidP="00810B21">
            <w:r>
              <w:t>Radio spectrum</w:t>
            </w:r>
          </w:p>
        </w:tc>
        <w:tc>
          <w:tcPr>
            <w:tcW w:w="4770" w:type="dxa"/>
            <w:vAlign w:val="center"/>
          </w:tcPr>
          <w:p w14:paraId="340566D6" w14:textId="77777777" w:rsidR="001343EF" w:rsidRDefault="001343EF" w:rsidP="00810B21">
            <w:r>
              <w:t xml:space="preserve">Defines the radio spectrum supported by the network slice. </w:t>
            </w:r>
          </w:p>
        </w:tc>
        <w:tc>
          <w:tcPr>
            <w:tcW w:w="2790" w:type="dxa"/>
            <w:vAlign w:val="center"/>
          </w:tcPr>
          <w:p w14:paraId="4E46FF80" w14:textId="77777777" w:rsidR="001343EF" w:rsidRDefault="001343EF" w:rsidP="00810B21">
            <w:r>
              <w:t>AMF (permanent rejection per RA or per PLMN)</w:t>
            </w:r>
          </w:p>
        </w:tc>
      </w:tr>
      <w:tr w:rsidR="001343EF" w14:paraId="442F158E" w14:textId="77777777" w:rsidTr="00810B21">
        <w:tc>
          <w:tcPr>
            <w:tcW w:w="1548" w:type="dxa"/>
            <w:vAlign w:val="center"/>
          </w:tcPr>
          <w:p w14:paraId="58B73139" w14:textId="77777777" w:rsidR="001343EF" w:rsidRDefault="001343EF" w:rsidP="00810B21">
            <w:r>
              <w:t>Root cause investigation</w:t>
            </w:r>
          </w:p>
        </w:tc>
        <w:tc>
          <w:tcPr>
            <w:tcW w:w="4770" w:type="dxa"/>
            <w:vAlign w:val="center"/>
          </w:tcPr>
          <w:p w14:paraId="06E84388" w14:textId="77777777" w:rsidR="001343EF" w:rsidRDefault="001343EF" w:rsidP="00810B21">
            <w:r>
              <w:t>Capability provided to NSC to understand or investigate the root cause of network service performance degradation or failure.</w:t>
            </w:r>
          </w:p>
        </w:tc>
        <w:tc>
          <w:tcPr>
            <w:tcW w:w="2790" w:type="dxa"/>
            <w:vAlign w:val="center"/>
          </w:tcPr>
          <w:p w14:paraId="17737A7F" w14:textId="77777777" w:rsidR="001343EF" w:rsidRDefault="001343EF" w:rsidP="00810B21">
            <w:r>
              <w:t>AMF (permanent rejection per RA or per PLMN)</w:t>
            </w:r>
          </w:p>
        </w:tc>
      </w:tr>
      <w:tr w:rsidR="001343EF" w14:paraId="22FE4F2E" w14:textId="77777777" w:rsidTr="00810B21">
        <w:tc>
          <w:tcPr>
            <w:tcW w:w="1548" w:type="dxa"/>
            <w:vAlign w:val="center"/>
          </w:tcPr>
          <w:p w14:paraId="5D5AC3FF" w14:textId="77777777" w:rsidR="001343EF" w:rsidRDefault="001343EF" w:rsidP="00810B21">
            <w:r>
              <w:t>Session and Service Continuity support</w:t>
            </w:r>
          </w:p>
        </w:tc>
        <w:tc>
          <w:tcPr>
            <w:tcW w:w="4770" w:type="dxa"/>
            <w:vAlign w:val="center"/>
          </w:tcPr>
          <w:p w14:paraId="7E1DFE8D" w14:textId="77777777" w:rsidR="001343EF" w:rsidRDefault="001343EF" w:rsidP="00810B21">
            <w:r>
              <w:t>SSC mode 1, 2, 3, none.</w:t>
            </w:r>
          </w:p>
        </w:tc>
        <w:tc>
          <w:tcPr>
            <w:tcW w:w="2790" w:type="dxa"/>
            <w:vAlign w:val="center"/>
          </w:tcPr>
          <w:p w14:paraId="5FBB5D28" w14:textId="77777777" w:rsidR="001343EF" w:rsidRDefault="001343EF" w:rsidP="00810B21">
            <w:r>
              <w:t>AMF for networks where only one SSC is supported. Permanent rejection per PLMN.</w:t>
            </w:r>
          </w:p>
          <w:p w14:paraId="31F1C423" w14:textId="77777777" w:rsidR="001343EF" w:rsidRPr="001343EF" w:rsidRDefault="001343EF" w:rsidP="00810B21">
            <w:r w:rsidRPr="001343EF">
              <w:t>SMF if depending on UPF and area. May be temporary rejection with conditions.</w:t>
            </w:r>
          </w:p>
        </w:tc>
      </w:tr>
      <w:tr w:rsidR="001343EF" w14:paraId="137B628C" w14:textId="77777777" w:rsidTr="00810B21">
        <w:tc>
          <w:tcPr>
            <w:tcW w:w="1548" w:type="dxa"/>
            <w:vAlign w:val="center"/>
          </w:tcPr>
          <w:p w14:paraId="113050BC" w14:textId="77777777" w:rsidR="001343EF" w:rsidRDefault="001343EF" w:rsidP="00810B21">
            <w:r>
              <w:t>Simultaneous use of the network slice</w:t>
            </w:r>
          </w:p>
        </w:tc>
        <w:tc>
          <w:tcPr>
            <w:tcW w:w="4770" w:type="dxa"/>
            <w:vAlign w:val="center"/>
          </w:tcPr>
          <w:p w14:paraId="0595F88B" w14:textId="77777777" w:rsidR="001343EF" w:rsidRDefault="001343EF" w:rsidP="00810B21">
            <w:r>
              <w:t xml:space="preserve">Describes whether a network slice can be simultaneously with </w:t>
            </w:r>
            <w:proofErr w:type="gramStart"/>
            <w:r>
              <w:t>other</w:t>
            </w:r>
            <w:proofErr w:type="gramEnd"/>
            <w:r>
              <w:t xml:space="preserve"> network slice and if so, which group the network slice belongs to. This corresponds to Mutually Exclusive Slice idea of SA2 (can be used with any slice; can be used with slices with same SST value; can be used with any slice with same SD value; cannot be used with another slice; operator defined class)</w:t>
            </w:r>
          </w:p>
        </w:tc>
        <w:tc>
          <w:tcPr>
            <w:tcW w:w="2790" w:type="dxa"/>
            <w:vAlign w:val="center"/>
          </w:tcPr>
          <w:p w14:paraId="656CA178" w14:textId="77777777" w:rsidR="001343EF" w:rsidRDefault="001343EF" w:rsidP="00810B21">
            <w:r>
              <w:t>AMF (permanent rejection per PLMN)</w:t>
            </w:r>
          </w:p>
        </w:tc>
      </w:tr>
      <w:tr w:rsidR="001343EF" w14:paraId="7B67DA98" w14:textId="77777777" w:rsidTr="00810B21">
        <w:tc>
          <w:tcPr>
            <w:tcW w:w="1548" w:type="dxa"/>
            <w:vAlign w:val="center"/>
          </w:tcPr>
          <w:p w14:paraId="7F804230" w14:textId="77777777" w:rsidR="001343EF" w:rsidRDefault="001343EF" w:rsidP="00810B21">
            <w:r>
              <w:t>Slice quality of service parameters</w:t>
            </w:r>
          </w:p>
        </w:tc>
        <w:tc>
          <w:tcPr>
            <w:tcW w:w="4770" w:type="dxa"/>
            <w:vAlign w:val="center"/>
          </w:tcPr>
          <w:p w14:paraId="76782784" w14:textId="77777777" w:rsidR="001343EF" w:rsidRDefault="001343EF" w:rsidP="00810B21">
            <w:r>
              <w:t>Defines all the QoS relevant parameters supported by the network slice based on 5Qis, resource type (e.g. GBR for mission critical video user plane, delay critical GBR for intelligent transport systems, non-GBR for voice), priority level in scheduling resources among QoS Flows (used to differentiate between QoS Flows of the same UE and between QoS Flows from different UEs), PDB, PER, jitter, maximum packet loss rate.</w:t>
            </w:r>
          </w:p>
        </w:tc>
        <w:tc>
          <w:tcPr>
            <w:tcW w:w="2790" w:type="dxa"/>
            <w:vAlign w:val="center"/>
          </w:tcPr>
          <w:p w14:paraId="7A90EB5C" w14:textId="6C392B69" w:rsidR="001343EF" w:rsidRDefault="001343EF" w:rsidP="00810B21">
            <w:r>
              <w:t>AMF if QoS cannot be satisfied independently of UPF</w:t>
            </w:r>
            <w:r w:rsidR="006E0BA6">
              <w:t xml:space="preserve"> (p</w:t>
            </w:r>
            <w:r>
              <w:t>ermanent rejection per PLMN or RA</w:t>
            </w:r>
            <w:r w:rsidR="006E0BA6">
              <w:t>)</w:t>
            </w:r>
            <w:r>
              <w:t>.</w:t>
            </w:r>
          </w:p>
          <w:p w14:paraId="24A224BB" w14:textId="3CED33B5" w:rsidR="001343EF" w:rsidRDefault="001343EF" w:rsidP="00810B21">
            <w:r>
              <w:t xml:space="preserve">SMF if the QoS depends on e.g. specific location, status, etc. </w:t>
            </w:r>
            <w:r w:rsidR="006E0BA6">
              <w:t xml:space="preserve">NOTE: </w:t>
            </w:r>
            <w:r>
              <w:t>This is a normal rejection of QoS.</w:t>
            </w:r>
          </w:p>
        </w:tc>
      </w:tr>
      <w:tr w:rsidR="001343EF" w14:paraId="6A989AE4" w14:textId="77777777" w:rsidTr="00810B21">
        <w:tc>
          <w:tcPr>
            <w:tcW w:w="1548" w:type="dxa"/>
            <w:vAlign w:val="center"/>
          </w:tcPr>
          <w:p w14:paraId="5A39F00E" w14:textId="77777777" w:rsidR="001343EF" w:rsidRDefault="001343EF" w:rsidP="00810B21">
            <w:r>
              <w:lastRenderedPageBreak/>
              <w:t>Support for non-IP traffic</w:t>
            </w:r>
          </w:p>
        </w:tc>
        <w:tc>
          <w:tcPr>
            <w:tcW w:w="4770" w:type="dxa"/>
            <w:vAlign w:val="center"/>
          </w:tcPr>
          <w:p w14:paraId="7BBB2638" w14:textId="77777777" w:rsidR="001343EF" w:rsidRDefault="001343EF" w:rsidP="00810B21">
            <w:r>
              <w:t>UPF may use Ethernet session and forwarding to transmit package as customized network slice ability to fully meet the communication requirement of some vertical industries application scenarios. Per DNN.</w:t>
            </w:r>
          </w:p>
        </w:tc>
        <w:tc>
          <w:tcPr>
            <w:tcW w:w="2790" w:type="dxa"/>
            <w:vAlign w:val="center"/>
          </w:tcPr>
          <w:p w14:paraId="55B62A14" w14:textId="77777777" w:rsidR="001343EF" w:rsidRDefault="001343EF" w:rsidP="00810B21">
            <w:r>
              <w:t xml:space="preserve">AMF if no support at all, independently of DNN. Permanent rejection per PLMN. </w:t>
            </w:r>
          </w:p>
          <w:p w14:paraId="4879254B" w14:textId="77777777" w:rsidR="001343EF" w:rsidRDefault="001343EF" w:rsidP="00810B21">
            <w:r>
              <w:t>SMF based on DNN (since at registration AMF does not know the needed DNN). Permanent rejection for the DNN.</w:t>
            </w:r>
          </w:p>
        </w:tc>
      </w:tr>
      <w:tr w:rsidR="001343EF" w14:paraId="230F6C47" w14:textId="77777777" w:rsidTr="00810B21">
        <w:tc>
          <w:tcPr>
            <w:tcW w:w="1548" w:type="dxa"/>
            <w:vAlign w:val="center"/>
          </w:tcPr>
          <w:p w14:paraId="7B7B0533" w14:textId="77777777" w:rsidR="001343EF" w:rsidRDefault="001343EF" w:rsidP="00810B21">
            <w:r>
              <w:t>Supported access technologies</w:t>
            </w:r>
          </w:p>
        </w:tc>
        <w:tc>
          <w:tcPr>
            <w:tcW w:w="4770" w:type="dxa"/>
            <w:vAlign w:val="center"/>
          </w:tcPr>
          <w:p w14:paraId="398376B4" w14:textId="77777777" w:rsidR="001343EF" w:rsidRDefault="001343EF" w:rsidP="00810B21">
            <w:r>
              <w:t>Defines which access technologies are supported by the network slice (e.g. GERAN, UTRAN, E-UTRA, NR, LTE-M, NB-IoT, Wi-Fi, Bluetooth, fixed).</w:t>
            </w:r>
          </w:p>
        </w:tc>
        <w:tc>
          <w:tcPr>
            <w:tcW w:w="2790" w:type="dxa"/>
            <w:vAlign w:val="center"/>
          </w:tcPr>
          <w:p w14:paraId="036DB6EE" w14:textId="77777777" w:rsidR="001343EF" w:rsidRDefault="001343EF" w:rsidP="00810B21">
            <w:r>
              <w:t>AMF (permanent rejection per RA)</w:t>
            </w:r>
          </w:p>
        </w:tc>
      </w:tr>
      <w:tr w:rsidR="001343EF" w14:paraId="07863998" w14:textId="77777777" w:rsidTr="00810B21">
        <w:tc>
          <w:tcPr>
            <w:tcW w:w="1548" w:type="dxa"/>
            <w:vAlign w:val="center"/>
          </w:tcPr>
          <w:p w14:paraId="21B9B2E4" w14:textId="77777777" w:rsidR="001343EF" w:rsidRDefault="001343EF" w:rsidP="00810B21">
            <w:r>
              <w:t>Supported device velocity</w:t>
            </w:r>
          </w:p>
        </w:tc>
        <w:tc>
          <w:tcPr>
            <w:tcW w:w="4770" w:type="dxa"/>
            <w:vAlign w:val="center"/>
          </w:tcPr>
          <w:p w14:paraId="6C109929" w14:textId="77777777" w:rsidR="001343EF" w:rsidRDefault="001343EF" w:rsidP="00810B21">
            <w:r>
              <w:t>Maximum speed supported by the network slice at which a defined QoS and seamless transfer between RAN nodes can be achieved. Used for URLLC services.</w:t>
            </w:r>
          </w:p>
        </w:tc>
        <w:tc>
          <w:tcPr>
            <w:tcW w:w="2790" w:type="dxa"/>
            <w:vAlign w:val="center"/>
          </w:tcPr>
          <w:p w14:paraId="53D0ACE9" w14:textId="77777777" w:rsidR="001343EF" w:rsidRDefault="001343EF" w:rsidP="00810B21">
            <w:r>
              <w:t>AMF (permanent rejection per RA)</w:t>
            </w:r>
          </w:p>
        </w:tc>
      </w:tr>
      <w:tr w:rsidR="001343EF" w14:paraId="549371FC" w14:textId="77777777" w:rsidTr="00810B21">
        <w:tc>
          <w:tcPr>
            <w:tcW w:w="1548" w:type="dxa"/>
            <w:vAlign w:val="center"/>
          </w:tcPr>
          <w:p w14:paraId="435C329E" w14:textId="77777777" w:rsidR="001343EF" w:rsidRDefault="001343EF" w:rsidP="00810B21">
            <w:r>
              <w:t>Synchronicity</w:t>
            </w:r>
          </w:p>
        </w:tc>
        <w:tc>
          <w:tcPr>
            <w:tcW w:w="4770" w:type="dxa"/>
            <w:vAlign w:val="center"/>
          </w:tcPr>
          <w:p w14:paraId="430EAC4B" w14:textId="77777777" w:rsidR="001343EF" w:rsidRDefault="001343EF" w:rsidP="00810B21">
            <w:r>
              <w:t>Defines synchronicity of communication devices: synchronicity between a base station and a mobile device and synchronicity between mobile devices. Used for industrial environments.</w:t>
            </w:r>
          </w:p>
        </w:tc>
        <w:tc>
          <w:tcPr>
            <w:tcW w:w="2790" w:type="dxa"/>
            <w:vAlign w:val="center"/>
          </w:tcPr>
          <w:p w14:paraId="24F48B5F" w14:textId="77777777" w:rsidR="001343EF" w:rsidRDefault="001343EF" w:rsidP="00810B21">
            <w:r>
              <w:t>FFS</w:t>
            </w:r>
          </w:p>
        </w:tc>
      </w:tr>
      <w:tr w:rsidR="001343EF" w14:paraId="1D9B5D03" w14:textId="77777777" w:rsidTr="00810B21">
        <w:tc>
          <w:tcPr>
            <w:tcW w:w="1548" w:type="dxa"/>
            <w:vAlign w:val="center"/>
          </w:tcPr>
          <w:p w14:paraId="3788AC69" w14:textId="77777777" w:rsidR="001343EF" w:rsidRDefault="001343EF" w:rsidP="00810B21">
            <w:r>
              <w:t>Terminal density</w:t>
            </w:r>
          </w:p>
        </w:tc>
        <w:tc>
          <w:tcPr>
            <w:tcW w:w="4770" w:type="dxa"/>
            <w:vAlign w:val="center"/>
          </w:tcPr>
          <w:p w14:paraId="114B0626" w14:textId="77777777" w:rsidR="001343EF" w:rsidRDefault="001343EF" w:rsidP="00810B21">
            <w:r>
              <w:t xml:space="preserve">Describes the maximum number of connected and/or accessible devices per unit area (per km2) supported by the network slice. </w:t>
            </w:r>
          </w:p>
        </w:tc>
        <w:tc>
          <w:tcPr>
            <w:tcW w:w="2790" w:type="dxa"/>
            <w:vAlign w:val="center"/>
          </w:tcPr>
          <w:p w14:paraId="063796A8" w14:textId="77777777" w:rsidR="001343EF" w:rsidRDefault="001343EF" w:rsidP="00810B21">
            <w:r>
              <w:t>AMF (permanent rejection per RA)</w:t>
            </w:r>
          </w:p>
        </w:tc>
      </w:tr>
      <w:tr w:rsidR="001343EF" w14:paraId="0BE4D153" w14:textId="77777777" w:rsidTr="00810B21">
        <w:tc>
          <w:tcPr>
            <w:tcW w:w="1548" w:type="dxa"/>
            <w:vAlign w:val="center"/>
          </w:tcPr>
          <w:p w14:paraId="6C4BF57C" w14:textId="77777777" w:rsidR="001343EF" w:rsidRDefault="001343EF" w:rsidP="00810B21">
            <w:r>
              <w:t>User management openness</w:t>
            </w:r>
          </w:p>
        </w:tc>
        <w:tc>
          <w:tcPr>
            <w:tcW w:w="4770" w:type="dxa"/>
            <w:vAlign w:val="center"/>
          </w:tcPr>
          <w:p w14:paraId="39157522" w14:textId="77777777" w:rsidR="001343EF" w:rsidRDefault="001343EF" w:rsidP="00810B21">
            <w:r>
              <w:t>Describes the capability for the NSC to manage their users or groups of users’ network services and corresponding requirements. For instance, if NSC Y orders a network slice which is capable to support X users of Y, then Y should be capable to decide which X users could use this network slice. Hence, Y could manage the users, in terms of add, modify or delete users to receive network services provided by the specific network slice.</w:t>
            </w:r>
            <w:r>
              <w:rPr>
                <w:rFonts w:ascii="Arial" w:eastAsia="Arial" w:hAnsi="Arial" w:cs="Arial"/>
                <w:b/>
              </w:rPr>
              <w:t xml:space="preserve"> </w:t>
            </w:r>
          </w:p>
        </w:tc>
        <w:tc>
          <w:tcPr>
            <w:tcW w:w="2790" w:type="dxa"/>
            <w:vAlign w:val="center"/>
          </w:tcPr>
          <w:p w14:paraId="073B602A" w14:textId="77777777" w:rsidR="001343EF" w:rsidRDefault="001343EF" w:rsidP="00810B21">
            <w:r>
              <w:t>FFS</w:t>
            </w:r>
          </w:p>
        </w:tc>
      </w:tr>
      <w:tr w:rsidR="001343EF" w14:paraId="1ED53322" w14:textId="77777777" w:rsidTr="00810B21">
        <w:tc>
          <w:tcPr>
            <w:tcW w:w="1548" w:type="dxa"/>
            <w:vAlign w:val="center"/>
          </w:tcPr>
          <w:p w14:paraId="643F1B1E" w14:textId="77777777" w:rsidR="001343EF" w:rsidRDefault="001343EF" w:rsidP="00810B21">
            <w:r>
              <w:t>User data access</w:t>
            </w:r>
          </w:p>
        </w:tc>
        <w:tc>
          <w:tcPr>
            <w:tcW w:w="4770" w:type="dxa"/>
            <w:vAlign w:val="center"/>
          </w:tcPr>
          <w:p w14:paraId="6400300D" w14:textId="77777777" w:rsidR="001343EF" w:rsidRDefault="001343EF" w:rsidP="00810B21">
            <w:r>
              <w:t>Defines how the network slice (or mobile network) should handle the user data (e.g. device has access to the Internet; all data traffic is routed to the private network via tunnelling mechanism; all data traffic stays local and the devices do not have access to the Internet or private network), and tunnelling mechanism (e.g. L2TP, GRE, VPN, label based routing, etc.)</w:t>
            </w:r>
          </w:p>
        </w:tc>
        <w:tc>
          <w:tcPr>
            <w:tcW w:w="2790" w:type="dxa"/>
            <w:vAlign w:val="center"/>
          </w:tcPr>
          <w:p w14:paraId="764060F9" w14:textId="77777777" w:rsidR="001343EF" w:rsidRDefault="001343EF" w:rsidP="00810B21">
            <w:r>
              <w:t>AMF (permanent rejection per PLMN)</w:t>
            </w:r>
          </w:p>
        </w:tc>
      </w:tr>
      <w:tr w:rsidR="001343EF" w14:paraId="2F568A97" w14:textId="77777777" w:rsidTr="00810B21">
        <w:tc>
          <w:tcPr>
            <w:tcW w:w="1548" w:type="dxa"/>
            <w:vAlign w:val="center"/>
          </w:tcPr>
          <w:p w14:paraId="741770CC" w14:textId="77777777" w:rsidR="001343EF" w:rsidRDefault="001343EF" w:rsidP="00810B21">
            <w:r>
              <w:t>V2X communication mode</w:t>
            </w:r>
          </w:p>
        </w:tc>
        <w:tc>
          <w:tcPr>
            <w:tcW w:w="4770" w:type="dxa"/>
            <w:vAlign w:val="center"/>
          </w:tcPr>
          <w:p w14:paraId="424F2CF5" w14:textId="77777777" w:rsidR="001343EF" w:rsidRDefault="001343EF" w:rsidP="00810B21">
            <w:r>
              <w:t>Describes if the V2X communication mode is supported by the network slice (e.g. no, E-UTRA, NR, NR and E-UTRA).</w:t>
            </w:r>
          </w:p>
        </w:tc>
        <w:tc>
          <w:tcPr>
            <w:tcW w:w="2790" w:type="dxa"/>
            <w:vAlign w:val="center"/>
          </w:tcPr>
          <w:p w14:paraId="727C8DBD" w14:textId="77777777" w:rsidR="001343EF" w:rsidRDefault="001343EF" w:rsidP="00810B21">
            <w:r>
              <w:t>AMF (permanent rejection per RA or PLMN)</w:t>
            </w:r>
          </w:p>
        </w:tc>
      </w:tr>
    </w:tbl>
    <w:p w14:paraId="0CB886BD" w14:textId="77777777" w:rsidR="001343EF" w:rsidRPr="001343EF" w:rsidRDefault="001343EF" w:rsidP="001343EF"/>
    <w:p w14:paraId="0F506D53" w14:textId="77777777" w:rsidR="001343EF" w:rsidRDefault="001343EF" w:rsidP="00C311D8">
      <w:pPr>
        <w:pStyle w:val="B1"/>
      </w:pPr>
    </w:p>
    <w:p w14:paraId="445CBD6B" w14:textId="7A680A8C" w:rsidR="00C311D8" w:rsidRDefault="00C311D8" w:rsidP="00C311D8">
      <w:pPr>
        <w:pStyle w:val="Heading3"/>
      </w:pPr>
      <w:bookmarkStart w:id="43" w:name="_Toc26360283"/>
      <w:bookmarkStart w:id="44" w:name="_Toc26360352"/>
      <w:r>
        <w:t>6.X.2</w:t>
      </w:r>
      <w:r>
        <w:rPr>
          <w:rFonts w:hint="eastAsia"/>
        </w:rPr>
        <w:tab/>
      </w:r>
      <w:r>
        <w:t xml:space="preserve">High-level </w:t>
      </w:r>
      <w:r>
        <w:rPr>
          <w:rFonts w:hint="eastAsia"/>
        </w:rPr>
        <w:t>Description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9B7F131" w14:textId="5F9E79CA" w:rsidR="001343EF" w:rsidRDefault="001343EF" w:rsidP="001343EF">
      <w:r>
        <w:t>In this solution, it is proposed that the AMF is aware of whether an S-NSSAI requested by a UE is allowed or not, considering the GST parameters for the slice corresponding to the S-NSSAI. The AMF may be directly aware or be made aware by other Network Functions, depending on specific solutions defined for the various parameters.</w:t>
      </w:r>
    </w:p>
    <w:p w14:paraId="4709F90B" w14:textId="50E5A1EC" w:rsidR="001343EF" w:rsidRDefault="001343EF" w:rsidP="001343EF">
      <w:r>
        <w:t>It is also proposed that, for GST parameters which impact the ability of establishing a PDU session corresponding to the S-NSSAI, the SMF is aware of whether the PDU session can be established or if GST parameters restrictions apply. The SMF may be directly aware or be made aware by other Network Functions, depending on specific solutions defined for the various parameters.</w:t>
      </w:r>
    </w:p>
    <w:p w14:paraId="1481C0B7" w14:textId="00BE6C70" w:rsidR="001343EF" w:rsidRDefault="001343EF" w:rsidP="001343EF">
      <w:pPr>
        <w:pStyle w:val="Heading4"/>
      </w:pPr>
      <w:r>
        <w:lastRenderedPageBreak/>
        <w:t>6.X.2.1 AMF-level handling</w:t>
      </w:r>
    </w:p>
    <w:p w14:paraId="6B1BE2C9" w14:textId="4D171B5E" w:rsidR="001343EF" w:rsidRDefault="001343EF" w:rsidP="001343EF">
      <w:r>
        <w:t xml:space="preserve">If an S-NSSAI in the Requested NSSAI cannot be allowed due to GST parameters restrictions, the following </w:t>
      </w:r>
      <w:r w:rsidR="007740B1">
        <w:t>behaviours</w:t>
      </w:r>
      <w:r>
        <w:t xml:space="preserve"> can be considered: </w:t>
      </w:r>
    </w:p>
    <w:p w14:paraId="63F9776F" w14:textId="77777777" w:rsidR="001343EF" w:rsidRDefault="001343EF" w:rsidP="001343EF">
      <w:pPr>
        <w:pStyle w:val="B1"/>
      </w:pPr>
      <w:r>
        <w:t>-</w:t>
      </w:r>
      <w:r>
        <w:tab/>
        <w:t>Option 1: rejection with backoff</w:t>
      </w:r>
    </w:p>
    <w:p w14:paraId="6EF2B383" w14:textId="77777777" w:rsidR="001343EF" w:rsidRDefault="001343EF" w:rsidP="001343EF">
      <w:pPr>
        <w:pStyle w:val="B1"/>
        <w:ind w:firstLine="0"/>
      </w:pPr>
      <w:r>
        <w:t xml:space="preserve">The AMF returns the S-NSSAI in the Rejected S-NSSAI providing a specific rejection cause. </w:t>
      </w:r>
    </w:p>
    <w:p w14:paraId="64993637" w14:textId="77777777" w:rsidR="001343EF" w:rsidRDefault="001343EF" w:rsidP="001343EF">
      <w:pPr>
        <w:pStyle w:val="B1"/>
        <w:ind w:firstLine="0"/>
      </w:pPr>
      <w:r>
        <w:t xml:space="preserve">If the slice is not allowed only under specific conditions, which may change over time depending on the specific GST parameter(s), in addition to existing information provided to the UE in the rejected NSSAI, the AMF also includes a backoff timer determined by the AMF in an implementation dependent way, based on the specific GST parameter(s) conditions for the S-NSSAI. </w:t>
      </w:r>
    </w:p>
    <w:p w14:paraId="297D5B0B" w14:textId="76AE07DB" w:rsidR="001343EF" w:rsidRDefault="001343EF" w:rsidP="001343EF">
      <w:pPr>
        <w:pStyle w:val="B1"/>
        <w:ind w:firstLine="0"/>
      </w:pPr>
      <w:r>
        <w:t xml:space="preserve">The UE shall not attempt to register again requesting the S-NSSAI until the timer has expired. Once the timer expires, the UE </w:t>
      </w:r>
      <w:proofErr w:type="gramStart"/>
      <w:r>
        <w:t>is allowed to</w:t>
      </w:r>
      <w:proofErr w:type="gramEnd"/>
      <w:r>
        <w:t xml:space="preserve"> register again requesting a new Requested NSSAI containing the S-NSSAI for which the timer is expired, even if the UE is in the same Registration Area.</w:t>
      </w:r>
    </w:p>
    <w:p w14:paraId="1FEF2B5F" w14:textId="77777777" w:rsidR="001343EF" w:rsidRDefault="001343EF" w:rsidP="001343EF">
      <w:pPr>
        <w:pStyle w:val="B1"/>
      </w:pPr>
      <w:r>
        <w:t>-</w:t>
      </w:r>
      <w:r>
        <w:tab/>
        <w:t>Option 2: rejection with conditions</w:t>
      </w:r>
    </w:p>
    <w:p w14:paraId="2CBE3D24" w14:textId="77777777" w:rsidR="001343EF" w:rsidRDefault="001343EF" w:rsidP="001343EF">
      <w:pPr>
        <w:pStyle w:val="B1"/>
        <w:ind w:firstLine="0"/>
      </w:pPr>
      <w:r>
        <w:t xml:space="preserve">The AMF returns the S-NSSAI in the Rejected S-NSSAI providing a specific rejection cause. </w:t>
      </w:r>
    </w:p>
    <w:p w14:paraId="491A8877" w14:textId="0F9F8675" w:rsidR="001343EF" w:rsidRDefault="001343EF" w:rsidP="001343EF">
      <w:pPr>
        <w:pStyle w:val="B1"/>
        <w:ind w:firstLine="0"/>
      </w:pPr>
      <w:r>
        <w:t>If the slice is not allowed only under specific conditions (e.g. coverage based on RAN node location and coverage, or geographic partitioning), etc., which may change over time depending on the specific GST parameter(s), in addition to existing information provided to the UE in the rejected NSSAI, the AMF also provides conditions under which the UE may retry (e.g. different location).</w:t>
      </w:r>
    </w:p>
    <w:p w14:paraId="20D3831F" w14:textId="75C7036E" w:rsidR="001343EF" w:rsidRDefault="001343EF" w:rsidP="001343EF">
      <w:pPr>
        <w:pStyle w:val="B1"/>
        <w:ind w:firstLine="0"/>
      </w:pPr>
      <w:r>
        <w:t xml:space="preserve">The UE shall not attempt to register again requesting the S-NSSAI until the conditions for re-attempting are valid. Once the conditions are valid for an S-NSSAI that was rejected, the UE </w:t>
      </w:r>
      <w:proofErr w:type="gramStart"/>
      <w:r>
        <w:t>is allowed to</w:t>
      </w:r>
      <w:proofErr w:type="gramEnd"/>
      <w:r>
        <w:t xml:space="preserve"> register again requesting a new Requested NSSAI containing the S-NSSAI, even if the UE is in the same Registration Area.</w:t>
      </w:r>
    </w:p>
    <w:p w14:paraId="6EDB8347" w14:textId="27F054F5" w:rsidR="001343EF" w:rsidRDefault="001343EF" w:rsidP="001343EF">
      <w:pPr>
        <w:pStyle w:val="NO"/>
      </w:pPr>
      <w:r>
        <w:t>NOTE 1: option 1 and 2 are alternatives, the following options may coexist with the options 1 and 2.</w:t>
      </w:r>
    </w:p>
    <w:p w14:paraId="6E63DB62" w14:textId="2F44C571" w:rsidR="001343EF" w:rsidRDefault="001343EF" w:rsidP="001343EF">
      <w:pPr>
        <w:pStyle w:val="B1"/>
      </w:pPr>
      <w:r>
        <w:t>-</w:t>
      </w:r>
      <w:r>
        <w:tab/>
        <w:t>Handling of maximum PDU sessions for slice</w:t>
      </w:r>
    </w:p>
    <w:p w14:paraId="5C75156E" w14:textId="77777777" w:rsidR="001343EF" w:rsidRDefault="001343EF" w:rsidP="001343EF">
      <w:pPr>
        <w:pStyle w:val="B1"/>
        <w:ind w:firstLine="0"/>
      </w:pPr>
      <w:r>
        <w:t xml:space="preserve">Even if the maximum number of connections per slice is allowed, he AMF allows the S-NSSAI requested by the UE, but the AMF rejects the PDU session establishment. </w:t>
      </w:r>
    </w:p>
    <w:p w14:paraId="6D5A01F1" w14:textId="12C40ACF" w:rsidR="001343EF" w:rsidRDefault="001343EF" w:rsidP="001343EF">
      <w:pPr>
        <w:pStyle w:val="B1"/>
        <w:ind w:firstLine="0"/>
      </w:pPr>
      <w:r>
        <w:t xml:space="preserve">When the NF that keeps track of the maximum number of PDU sessions per slices detects that no more PDU sessions are allowed, it informs the AMF. </w:t>
      </w:r>
    </w:p>
    <w:p w14:paraId="3A092DFA" w14:textId="77777777" w:rsidR="001343EF" w:rsidRDefault="001343EF" w:rsidP="001343EF">
      <w:pPr>
        <w:pStyle w:val="B1"/>
        <w:ind w:firstLine="0"/>
      </w:pPr>
      <w:r>
        <w:t xml:space="preserve">When the NF that keeps track of the maximum number of PDU sessions per slices detects that additional PDU sessions are allowed, it informs the AMF. </w:t>
      </w:r>
    </w:p>
    <w:p w14:paraId="140195E6" w14:textId="5FA07FB8" w:rsidR="001343EF" w:rsidRDefault="001343EF" w:rsidP="001343EF">
      <w:pPr>
        <w:pStyle w:val="B1"/>
      </w:pPr>
      <w:r>
        <w:t>-</w:t>
      </w:r>
      <w:r>
        <w:tab/>
        <w:t>Handling of “Deterministic communication”</w:t>
      </w:r>
    </w:p>
    <w:p w14:paraId="4CE173AC" w14:textId="77777777" w:rsidR="001343EF" w:rsidRDefault="001343EF" w:rsidP="001343EF">
      <w:pPr>
        <w:pStyle w:val="B1"/>
        <w:ind w:firstLine="0"/>
      </w:pPr>
      <w:r>
        <w:t>AMF decides not to allow the slice and provides a rejection cause indicating the slice is not allowed.</w:t>
      </w:r>
    </w:p>
    <w:p w14:paraId="07F3F385" w14:textId="73769BF0" w:rsidR="001343EF" w:rsidRDefault="001343EF" w:rsidP="001343EF">
      <w:pPr>
        <w:pStyle w:val="B1"/>
        <w:ind w:firstLine="0"/>
      </w:pPr>
      <w:r w:rsidRPr="001343EF">
        <w:t>Alternatively, the AMF allows the slice (S-NSSAI is put in Allowed NSSAI), rejects establishment of user plane resources during PDU session request, and any subsequent Service Request with the Uplink data status IE and a backoff timer.</w:t>
      </w:r>
    </w:p>
    <w:p w14:paraId="676F0B15" w14:textId="02128CA8" w:rsidR="001343EF" w:rsidRDefault="001343EF" w:rsidP="001343EF">
      <w:pPr>
        <w:pStyle w:val="B1"/>
      </w:pPr>
      <w:r>
        <w:t>-</w:t>
      </w:r>
      <w:r>
        <w:tab/>
        <w:t>Handling of “Maximum supported packet size”</w:t>
      </w:r>
    </w:p>
    <w:p w14:paraId="29A09DF7" w14:textId="0A82B86F" w:rsidR="001343EF" w:rsidRDefault="001343EF" w:rsidP="006E0BA6">
      <w:pPr>
        <w:pStyle w:val="B1"/>
        <w:ind w:firstLine="0"/>
      </w:pPr>
      <w:r w:rsidRPr="001343EF">
        <w:t xml:space="preserve">Either the slice is permanently rejection per RA or per PLMN, or the AMF can reject data over control plane (e.g. for </w:t>
      </w:r>
      <w:proofErr w:type="spellStart"/>
      <w:r w:rsidRPr="001343EF">
        <w:t>CIoT</w:t>
      </w:r>
      <w:proofErr w:type="spellEnd"/>
      <w:r w:rsidRPr="001343EF">
        <w:t xml:space="preserve">) if the size limit is not </w:t>
      </w:r>
      <w:r>
        <w:t>respected</w:t>
      </w:r>
      <w:r w:rsidRPr="001343EF">
        <w:t>.</w:t>
      </w:r>
    </w:p>
    <w:p w14:paraId="1187766E" w14:textId="71EFD549" w:rsidR="001343EF" w:rsidRDefault="001343EF" w:rsidP="001343EF">
      <w:pPr>
        <w:pStyle w:val="Heading4"/>
      </w:pPr>
      <w:r>
        <w:t>6.X.2.2 SMF-level handling</w:t>
      </w:r>
    </w:p>
    <w:p w14:paraId="18D6334E" w14:textId="58F603A4" w:rsidR="001343EF" w:rsidRPr="001343EF" w:rsidRDefault="001343EF" w:rsidP="001343EF">
      <w:r>
        <w:t>When the UE requests a PDU session associated with an S-NSSAI subject to GST parameters restrictions enforced at the SMF:</w:t>
      </w:r>
    </w:p>
    <w:p w14:paraId="6E8C9B4E" w14:textId="77777777" w:rsidR="001343EF" w:rsidRPr="001343EF" w:rsidRDefault="001343EF" w:rsidP="001343EF">
      <w:pPr>
        <w:pStyle w:val="B1"/>
      </w:pPr>
      <w:r w:rsidRPr="001343EF">
        <w:t>-</w:t>
      </w:r>
      <w:r w:rsidRPr="001343EF">
        <w:tab/>
        <w:t>Handling of “Session and Service Continuity support”</w:t>
      </w:r>
    </w:p>
    <w:p w14:paraId="771324FB" w14:textId="69315CB5" w:rsidR="001343EF" w:rsidRPr="001343EF" w:rsidRDefault="001343EF" w:rsidP="001343EF">
      <w:pPr>
        <w:pStyle w:val="B1"/>
        <w:ind w:firstLine="0"/>
      </w:pPr>
      <w:r w:rsidRPr="001343EF">
        <w:t xml:space="preserve">The AMF provides the S-NSSAI in the Allowed NSSAI, but the SMF rejects the establishment of a PDU session for such S-NSSAI based on the specific conditions related to the GST parameter with a specific rejection cause </w:t>
      </w:r>
      <w:r w:rsidRPr="001343EF">
        <w:lastRenderedPageBreak/>
        <w:t>(e.g. required SSC mode not supported). The SMF may provide a condition indicating when the UE can retry (e.g. specific area where the PDU session will not be allowed)</w:t>
      </w:r>
    </w:p>
    <w:p w14:paraId="69D4331D" w14:textId="77777777" w:rsidR="001343EF" w:rsidRPr="001343EF" w:rsidRDefault="001343EF" w:rsidP="001343EF">
      <w:pPr>
        <w:pStyle w:val="B1"/>
      </w:pPr>
      <w:r w:rsidRPr="001343EF">
        <w:t>-</w:t>
      </w:r>
      <w:r w:rsidRPr="001343EF">
        <w:tab/>
        <w:t>Handling of “delay tolerance and deterministic communications”</w:t>
      </w:r>
    </w:p>
    <w:p w14:paraId="347E97C3" w14:textId="615D6174" w:rsidR="001343EF" w:rsidRPr="001343EF" w:rsidRDefault="001343EF" w:rsidP="001343EF">
      <w:pPr>
        <w:pStyle w:val="B1"/>
        <w:ind w:firstLine="0"/>
      </w:pPr>
      <w:r w:rsidRPr="001343EF">
        <w:t xml:space="preserve">The AMF provides the S-NSSAI in the Allowed NSSAI. AMF and SMF allow the UE to establish a PDU session for the S-NSSAI, but no user plane resources are established for the PDU session (blocked either at the SMF or the AMF), and the AMF rejects further user plane establishment via Service Request by providing a back off timer with a specific cause </w:t>
      </w:r>
    </w:p>
    <w:p w14:paraId="1963B7F0" w14:textId="77777777" w:rsidR="001343EF" w:rsidRPr="001343EF" w:rsidRDefault="001343EF" w:rsidP="001343EF">
      <w:pPr>
        <w:pStyle w:val="B1"/>
      </w:pPr>
      <w:r w:rsidRPr="001343EF">
        <w:t>-</w:t>
      </w:r>
      <w:r w:rsidRPr="001343EF">
        <w:tab/>
        <w:t>Handling of “Downlink/uplink throughput per network slice”</w:t>
      </w:r>
    </w:p>
    <w:p w14:paraId="7790E0F0" w14:textId="06C33E13" w:rsidR="001343EF" w:rsidRDefault="001343EF" w:rsidP="001343EF">
      <w:pPr>
        <w:pStyle w:val="B1"/>
        <w:ind w:firstLine="0"/>
      </w:pPr>
      <w:r w:rsidRPr="001343EF">
        <w:t>The AMF provides the S-NSSAI in the Allowed NSSAI. AMF and SMF allow the UE to establish a PDU session for the S-NSSAI. The PDU session is established with a reduced throughput, and an explicit indication (cause) is provided to the UE which may then decide to use or release the PDU session. The SMF uses SM procedures to indicate to the UE of any changes when possible at the network.</w:t>
      </w:r>
    </w:p>
    <w:p w14:paraId="0E87B23F" w14:textId="28D0306C" w:rsidR="001343EF" w:rsidRDefault="001343EF" w:rsidP="001343EF">
      <w:pPr>
        <w:pStyle w:val="Heading4"/>
      </w:pPr>
      <w:r>
        <w:t>6.X.2.3 Updating Availability of S-NSSAIs</w:t>
      </w:r>
    </w:p>
    <w:p w14:paraId="5274936F" w14:textId="04B428A3" w:rsidR="001343EF" w:rsidRDefault="001343EF" w:rsidP="001343EF">
      <w:r>
        <w:t>In addition to the aspects above, the AMF may store information regarding the S-NSSAIs that were rejected due to conditions associated to GST parameters, or allowed as in option 3. When the AMF is aware that the GST restriction are not valid anymore, the AMF can inform the UE that the S-NSSAI is now available by performing a UE Configuration Update procedure to provide the UE with a new Allowed NSSAI now containing the S-NSSAIs for which the GST restrictions do not apply anymore</w:t>
      </w:r>
    </w:p>
    <w:p w14:paraId="37623D91" w14:textId="633188E8" w:rsidR="00C311D8" w:rsidRDefault="00C311D8" w:rsidP="00C311D8">
      <w:pPr>
        <w:pStyle w:val="Heading3"/>
      </w:pPr>
      <w:bookmarkStart w:id="45" w:name="_Toc509873782"/>
      <w:bookmarkStart w:id="46" w:name="_Toc20227988"/>
      <w:bookmarkStart w:id="47" w:name="_Toc22125441"/>
      <w:bookmarkStart w:id="48" w:name="_Toc22125861"/>
      <w:bookmarkStart w:id="49" w:name="_Toc22126135"/>
      <w:bookmarkStart w:id="50" w:name="_Toc22183821"/>
      <w:bookmarkStart w:id="51" w:name="_Toc22183891"/>
      <w:bookmarkStart w:id="52" w:name="_Toc22184061"/>
      <w:bookmarkStart w:id="53" w:name="_Toc22184163"/>
      <w:bookmarkStart w:id="54" w:name="_Toc22261939"/>
      <w:bookmarkStart w:id="55" w:name="_Toc25971116"/>
      <w:bookmarkStart w:id="56" w:name="_Toc25971360"/>
      <w:bookmarkStart w:id="57" w:name="_Toc26360284"/>
      <w:bookmarkStart w:id="58" w:name="_Toc26360353"/>
      <w:r>
        <w:t>6.X.3</w:t>
      </w:r>
      <w:r>
        <w:tab/>
        <w:t>Procedures</w:t>
      </w:r>
      <w:bookmarkStart w:id="59" w:name="_Toc22125442"/>
      <w:bookmarkStart w:id="60" w:name="_Toc22125862"/>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bookmarkEnd w:id="60"/>
    <w:p w14:paraId="7D6E7B6D" w14:textId="2B355ABA" w:rsidR="00C311D8" w:rsidRDefault="005550AC" w:rsidP="005550AC">
      <w:pPr>
        <w:rPr>
          <w:lang w:eastAsia="ko-KR"/>
        </w:rPr>
      </w:pPr>
      <w:r>
        <w:rPr>
          <w:lang w:eastAsia="ko-KR"/>
        </w:rPr>
        <w:t>No impacts on existing procedures have been identified.</w:t>
      </w:r>
    </w:p>
    <w:p w14:paraId="1282124A" w14:textId="75525320" w:rsidR="00C311D8" w:rsidRDefault="00C311D8" w:rsidP="00C311D8">
      <w:pPr>
        <w:pStyle w:val="Heading3"/>
      </w:pPr>
      <w:bookmarkStart w:id="61" w:name="_Toc509873783"/>
      <w:bookmarkStart w:id="62" w:name="_Toc20227989"/>
      <w:bookmarkStart w:id="63" w:name="_Toc22125443"/>
      <w:bookmarkStart w:id="64" w:name="_Toc22125863"/>
      <w:bookmarkStart w:id="65" w:name="_Toc22126136"/>
      <w:bookmarkStart w:id="66" w:name="_Toc22183822"/>
      <w:bookmarkStart w:id="67" w:name="_Toc22183892"/>
      <w:bookmarkStart w:id="68" w:name="_Toc22184062"/>
      <w:bookmarkStart w:id="69" w:name="_Toc22184164"/>
      <w:bookmarkStart w:id="70" w:name="_Toc22261940"/>
      <w:bookmarkStart w:id="71" w:name="_Toc25971117"/>
      <w:bookmarkStart w:id="72" w:name="_Toc25971361"/>
      <w:bookmarkStart w:id="73" w:name="_Toc26360285"/>
      <w:bookmarkStart w:id="74" w:name="_Toc26360354"/>
      <w:r>
        <w:t>6.X.4</w:t>
      </w:r>
      <w:r>
        <w:tab/>
        <w:t>Impacts on existing services and interfaces</w:t>
      </w:r>
      <w:bookmarkStart w:id="75" w:name="_Toc22125444"/>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E51566A" w14:textId="7EB049FA" w:rsidR="006E0BA6" w:rsidRPr="006E0BA6" w:rsidRDefault="006E0BA6" w:rsidP="00C311D8">
      <w:r w:rsidRPr="006E0BA6">
        <w:t>UE: handling of new rejection causes and backoff timers</w:t>
      </w:r>
    </w:p>
    <w:p w14:paraId="4C1301B7" w14:textId="3A54DCC5" w:rsidR="006E0BA6" w:rsidRPr="006E0BA6" w:rsidRDefault="006E0BA6" w:rsidP="00C311D8">
      <w:r w:rsidRPr="006E0BA6">
        <w:t xml:space="preserve">AMF: the AMF is mostly modified to add additional information in existing procedures (e.g. handling of S-NSSAI rejection with cause and backoff timers, or S-NSSAI rejection with cause and related conditions; rejection of PDU session establishment requests based on GST parameters conditions; rejection of user plane establishment based on GST parameters; triggering UE Configuration Update procedure when GST parameter restrictions are lifted for S-NSSAIs that the AMF rejected based on GST parameters restrictions). No new procedures are expected. </w:t>
      </w:r>
    </w:p>
    <w:p w14:paraId="70EC73C1" w14:textId="5A919C85" w:rsidR="00C311D8" w:rsidRPr="006E0BA6" w:rsidRDefault="006E0BA6" w:rsidP="00C311D8">
      <w:r w:rsidRPr="006E0BA6">
        <w:t>SMF: the SMF is mostly modified to add additional information in existing procedures (e.g. new rejection causes based on GST parameters restrictions). No new procedures are expected.</w:t>
      </w:r>
    </w:p>
    <w:bookmarkEnd w:id="75"/>
    <w:p w14:paraId="0833E4DD" w14:textId="77777777" w:rsidR="00C311D8" w:rsidRDefault="00C311D8" w:rsidP="00317A06">
      <w:pPr>
        <w:pStyle w:val="Heading2"/>
        <w:rPr>
          <w:lang w:eastAsia="ko-KR"/>
        </w:rPr>
      </w:pPr>
    </w:p>
    <w:p w14:paraId="22DBA78B" w14:textId="77777777" w:rsidR="00C311D8" w:rsidRDefault="00C311D8" w:rsidP="00317A06">
      <w:pPr>
        <w:pStyle w:val="Heading2"/>
        <w:rPr>
          <w:lang w:eastAsia="ko-KR"/>
        </w:rPr>
      </w:pPr>
    </w:p>
    <w:bookmarkEnd w:id="14"/>
    <w:bookmarkEnd w:id="15"/>
    <w:bookmarkEnd w:id="16"/>
    <w:p w14:paraId="4F299552" w14:textId="77777777" w:rsidR="001A0078" w:rsidRPr="001A0078" w:rsidRDefault="001A0078" w:rsidP="001A0078"/>
    <w:sectPr w:rsidR="001A0078" w:rsidRPr="001A007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A171B" w14:textId="77777777" w:rsidR="000959A4" w:rsidRDefault="000959A4">
      <w:r>
        <w:separator/>
      </w:r>
    </w:p>
    <w:p w14:paraId="162548BE" w14:textId="77777777" w:rsidR="000959A4" w:rsidRDefault="000959A4"/>
  </w:endnote>
  <w:endnote w:type="continuationSeparator" w:id="0">
    <w:p w14:paraId="395D8967" w14:textId="77777777" w:rsidR="000959A4" w:rsidRDefault="000959A4">
      <w:r>
        <w:continuationSeparator/>
      </w:r>
    </w:p>
    <w:p w14:paraId="546D04BD" w14:textId="77777777" w:rsidR="000959A4" w:rsidRDefault="00095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B583C" w14:textId="77777777" w:rsidR="000959A4" w:rsidRDefault="000959A4">
      <w:r>
        <w:separator/>
      </w:r>
    </w:p>
    <w:p w14:paraId="6FF4D447" w14:textId="77777777" w:rsidR="000959A4" w:rsidRDefault="000959A4"/>
  </w:footnote>
  <w:footnote w:type="continuationSeparator" w:id="0">
    <w:p w14:paraId="49019013" w14:textId="77777777" w:rsidR="000959A4" w:rsidRDefault="000959A4">
      <w:r>
        <w:continuationSeparator/>
      </w:r>
    </w:p>
    <w:p w14:paraId="5C010E5B" w14:textId="77777777" w:rsidR="000959A4" w:rsidRDefault="00095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EB15D07"/>
    <w:multiLevelType w:val="hybridMultilevel"/>
    <w:tmpl w:val="862841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860DE7"/>
    <w:multiLevelType w:val="hybridMultilevel"/>
    <w:tmpl w:val="BE74E38A"/>
    <w:lvl w:ilvl="0" w:tplc="119E59F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6B77C99"/>
    <w:multiLevelType w:val="hybridMultilevel"/>
    <w:tmpl w:val="045E0C9A"/>
    <w:lvl w:ilvl="0" w:tplc="FF1213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33"/>
  </w:num>
  <w:num w:numId="4">
    <w:abstractNumId w:val="19"/>
  </w:num>
  <w:num w:numId="5">
    <w:abstractNumId w:val="35"/>
  </w:num>
  <w:num w:numId="6">
    <w:abstractNumId w:val="11"/>
  </w:num>
  <w:num w:numId="7">
    <w:abstractNumId w:val="34"/>
  </w:num>
  <w:num w:numId="8">
    <w:abstractNumId w:val="27"/>
  </w:num>
  <w:num w:numId="9">
    <w:abstractNumId w:val="38"/>
  </w:num>
  <w:num w:numId="10">
    <w:abstractNumId w:val="14"/>
  </w:num>
  <w:num w:numId="11">
    <w:abstractNumId w:val="36"/>
  </w:num>
  <w:num w:numId="12">
    <w:abstractNumId w:val="16"/>
  </w:num>
  <w:num w:numId="13">
    <w:abstractNumId w:val="15"/>
  </w:num>
  <w:num w:numId="14">
    <w:abstractNumId w:val="10"/>
  </w:num>
  <w:num w:numId="15">
    <w:abstractNumId w:val="20"/>
  </w:num>
  <w:num w:numId="16">
    <w:abstractNumId w:val="28"/>
  </w:num>
  <w:num w:numId="17">
    <w:abstractNumId w:val="37"/>
  </w:num>
  <w:num w:numId="18">
    <w:abstractNumId w:val="29"/>
  </w:num>
  <w:num w:numId="19">
    <w:abstractNumId w:val="17"/>
  </w:num>
  <w:num w:numId="20">
    <w:abstractNumId w:val="24"/>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22"/>
  </w:num>
  <w:num w:numId="34">
    <w:abstractNumId w:val="18"/>
  </w:num>
  <w:num w:numId="35">
    <w:abstractNumId w:val="21"/>
  </w:num>
  <w:num w:numId="36">
    <w:abstractNumId w:val="30"/>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5"/>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28B"/>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59A4"/>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43EF"/>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7A06"/>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207"/>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0AC"/>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842"/>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408"/>
    <w:rsid w:val="006D4768"/>
    <w:rsid w:val="006D4EF7"/>
    <w:rsid w:val="006D6FFD"/>
    <w:rsid w:val="006E07C2"/>
    <w:rsid w:val="006E0BA6"/>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0B1"/>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B7E03"/>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1BD7"/>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034"/>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1F97"/>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1D8"/>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29B7"/>
    <w:rsid w:val="00F74D3F"/>
    <w:rsid w:val="00F754C3"/>
    <w:rsid w:val="00F75ADF"/>
    <w:rsid w:val="00F76244"/>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uiPriority w:val="99"/>
    <w:rsid w:val="00712B60"/>
    <w:rPr>
      <w:sz w:val="16"/>
    </w:rPr>
  </w:style>
  <w:style w:type="paragraph" w:styleId="CommentText">
    <w:name w:val="annotation text"/>
    <w:basedOn w:val="Normal"/>
    <w:link w:val="CommentTextChar"/>
    <w:uiPriority w:val="99"/>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uiPriority w:val="99"/>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customStyle="1" w:styleId="TableHeader">
    <w:name w:val="Table Header"/>
    <w:basedOn w:val="NormalParagraph"/>
    <w:uiPriority w:val="18"/>
    <w:qFormat/>
    <w:rsid w:val="00A71BD7"/>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A71BD7"/>
    <w:pPr>
      <w:numPr>
        <w:numId w:val="36"/>
      </w:numPr>
      <w:tabs>
        <w:tab w:val="left" w:pos="1009"/>
      </w:tabs>
      <w:spacing w:before="120"/>
      <w:ind w:left="540"/>
      <w:jc w:val="center"/>
    </w:pPr>
    <w:rPr>
      <w:rFonts w:cs="Arial"/>
      <w:b/>
      <w:szCs w:val="20"/>
      <w:lang w:eastAsia="de-DE"/>
    </w:rPr>
  </w:style>
  <w:style w:type="paragraph" w:customStyle="1" w:styleId="TableText">
    <w:name w:val="Table Text"/>
    <w:basedOn w:val="NormalParagraph"/>
    <w:link w:val="TableTextChar"/>
    <w:uiPriority w:val="19"/>
    <w:qFormat/>
    <w:rsid w:val="00A71BD7"/>
    <w:pPr>
      <w:spacing w:before="40" w:after="40"/>
    </w:pPr>
    <w:rPr>
      <w:sz w:val="20"/>
      <w:lang w:eastAsia="de-DE"/>
    </w:rPr>
  </w:style>
  <w:style w:type="character" w:customStyle="1" w:styleId="TableTextChar">
    <w:name w:val="Table Text Char"/>
    <w:link w:val="TableText"/>
    <w:uiPriority w:val="19"/>
    <w:rsid w:val="00A71BD7"/>
    <w:rPr>
      <w:rFonts w:ascii="Arial" w:eastAsia="SimSun" w:hAnsi="Arial"/>
      <w:szCs w:val="22"/>
      <w:lang w:eastAsia="de-DE"/>
    </w:rPr>
  </w:style>
  <w:style w:type="paragraph" w:customStyle="1" w:styleId="NormalParagraph">
    <w:name w:val="Normal Paragraph"/>
    <w:link w:val="NormalParagraphChar"/>
    <w:qFormat/>
    <w:rsid w:val="00A71BD7"/>
    <w:pPr>
      <w:spacing w:after="200" w:line="276" w:lineRule="auto"/>
    </w:pPr>
    <w:rPr>
      <w:rFonts w:ascii="Arial" w:eastAsia="SimSun" w:hAnsi="Arial"/>
      <w:sz w:val="22"/>
      <w:szCs w:val="22"/>
    </w:rPr>
  </w:style>
  <w:style w:type="paragraph" w:customStyle="1" w:styleId="NOTE">
    <w:name w:val="NOTE"/>
    <w:basedOn w:val="NormalParagraph"/>
    <w:uiPriority w:val="14"/>
    <w:qFormat/>
    <w:rsid w:val="00A71BD7"/>
    <w:pPr>
      <w:tabs>
        <w:tab w:val="left" w:pos="1560"/>
      </w:tabs>
      <w:ind w:left="1559" w:hanging="1202"/>
    </w:pPr>
  </w:style>
  <w:style w:type="character" w:customStyle="1" w:styleId="NormalParagraphChar">
    <w:name w:val="Normal Paragraph Char"/>
    <w:link w:val="NormalParagraph"/>
    <w:locked/>
    <w:rsid w:val="00A71BD7"/>
    <w:rPr>
      <w:rFonts w:ascii="Arial" w:eastAsia="SimSun" w:hAnsi="Arial"/>
      <w:sz w:val="22"/>
      <w:szCs w:val="22"/>
    </w:rPr>
  </w:style>
  <w:style w:type="paragraph" w:styleId="Revision">
    <w:name w:val="Revision"/>
    <w:hidden/>
    <w:uiPriority w:val="71"/>
    <w:unhideWhenUsed/>
    <w:rsid w:val="00F729B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7E8D8-A4DF-48E5-A8C2-DD8D2D68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7</Pages>
  <Words>3118</Words>
  <Characters>17774</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QC-SA2136AH2</cp:lastModifiedBy>
  <cp:revision>24</cp:revision>
  <cp:lastPrinted>2017-01-31T19:04:00Z</cp:lastPrinted>
  <dcterms:created xsi:type="dcterms:W3CDTF">2019-05-02T11:35:00Z</dcterms:created>
  <dcterms:modified xsi:type="dcterms:W3CDTF">2020-01-07T09:26:00Z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